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8485E" w14:textId="193F3083" w:rsidR="00094E47" w:rsidRPr="00094E47" w:rsidRDefault="00094E47" w:rsidP="00094E47">
      <w:pPr>
        <w:jc w:val="center"/>
        <w:rPr>
          <w:b/>
          <w:bCs/>
        </w:rPr>
      </w:pPr>
      <w:r w:rsidRPr="00094E47">
        <w:rPr>
          <w:b/>
          <w:bCs/>
        </w:rPr>
        <w:t>CORPORATE PARENING BOARD WORKSHOP 16.06.2021</w:t>
      </w:r>
    </w:p>
    <w:p w14:paraId="5EB665DE" w14:textId="14BDB882" w:rsidR="00094E47" w:rsidRDefault="00094E47" w:rsidP="00094E47">
      <w:pPr>
        <w:jc w:val="center"/>
        <w:rPr>
          <w:b/>
          <w:bCs/>
        </w:rPr>
      </w:pPr>
      <w:r w:rsidRPr="00094E47">
        <w:rPr>
          <w:b/>
          <w:bCs/>
        </w:rPr>
        <w:t>Notes and Outcomes</w:t>
      </w:r>
    </w:p>
    <w:p w14:paraId="70A7F6F7" w14:textId="50DDC65A" w:rsidR="00094E47" w:rsidRDefault="00094E47" w:rsidP="00340474">
      <w:r w:rsidRPr="00094E47">
        <w:rPr>
          <w:noProof/>
        </w:rPr>
        <w:drawing>
          <wp:inline distT="0" distB="0" distL="0" distR="0" wp14:anchorId="670F558A" wp14:editId="52519015">
            <wp:extent cx="5308600" cy="3724275"/>
            <wp:effectExtent l="0" t="0" r="6350" b="9525"/>
            <wp:docPr id="9219" name="Content Placeholder 4">
              <a:extLst xmlns:a="http://schemas.openxmlformats.org/drawingml/2006/main">
                <a:ext uri="{FF2B5EF4-FFF2-40B4-BE49-F238E27FC236}">
                  <a16:creationId xmlns:a16="http://schemas.microsoft.com/office/drawing/2014/main" id="{D9D81D88-2644-47A3-BE2E-BE770322524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9" name="Content Placeholder 4">
                      <a:extLst>
                        <a:ext uri="{FF2B5EF4-FFF2-40B4-BE49-F238E27FC236}">
                          <a16:creationId xmlns:a16="http://schemas.microsoft.com/office/drawing/2014/main" id="{D9D81D88-2644-47A3-BE2E-BE7703225245}"/>
                        </a:ext>
                      </a:extLst>
                    </pic:cNvPr>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8600" cy="372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20D3356" w14:textId="70EF77FC" w:rsidR="00094E47" w:rsidRPr="008E43BD" w:rsidRDefault="00094E47" w:rsidP="00340474">
      <w:pPr>
        <w:rPr>
          <w:i/>
          <w:iCs/>
        </w:rPr>
      </w:pPr>
      <w:r w:rsidRPr="00105A96">
        <w:rPr>
          <w:i/>
          <w:iCs/>
        </w:rPr>
        <w:t>A summary of</w:t>
      </w:r>
      <w:r w:rsidR="00724FE4" w:rsidRPr="00105A96">
        <w:rPr>
          <w:i/>
          <w:iCs/>
        </w:rPr>
        <w:t xml:space="preserve"> the</w:t>
      </w:r>
      <w:r w:rsidRPr="00105A96">
        <w:rPr>
          <w:i/>
          <w:iCs/>
        </w:rPr>
        <w:t xml:space="preserve"> discussion</w:t>
      </w:r>
      <w:r w:rsidR="00724FE4" w:rsidRPr="00105A96">
        <w:rPr>
          <w:i/>
          <w:iCs/>
        </w:rPr>
        <w:t>s</w:t>
      </w:r>
      <w:r w:rsidRPr="00105A96">
        <w:rPr>
          <w:i/>
          <w:iCs/>
        </w:rPr>
        <w:t xml:space="preserve"> </w:t>
      </w:r>
      <w:r w:rsidR="00AC42A9" w:rsidRPr="00105A96">
        <w:rPr>
          <w:i/>
          <w:iCs/>
        </w:rPr>
        <w:t xml:space="preserve">is provided </w:t>
      </w:r>
      <w:r w:rsidR="00192FB5" w:rsidRPr="00105A96">
        <w:rPr>
          <w:i/>
          <w:iCs/>
        </w:rPr>
        <w:t xml:space="preserve">for each Objective discussed </w:t>
      </w:r>
      <w:r w:rsidR="00920FB8" w:rsidRPr="00105A96">
        <w:rPr>
          <w:i/>
          <w:iCs/>
        </w:rPr>
        <w:t xml:space="preserve">during the workshop on 16.06.2021 and grouped in </w:t>
      </w:r>
      <w:r w:rsidR="00AC42A9" w:rsidRPr="00105A96">
        <w:rPr>
          <w:i/>
          <w:iCs/>
        </w:rPr>
        <w:t xml:space="preserve">'themes' </w:t>
      </w:r>
      <w:r w:rsidR="00105A96" w:rsidRPr="00105A96">
        <w:rPr>
          <w:i/>
          <w:iCs/>
        </w:rPr>
        <w:t xml:space="preserve">under </w:t>
      </w:r>
      <w:r w:rsidR="00AC42A9" w:rsidRPr="00105A96">
        <w:rPr>
          <w:i/>
          <w:iCs/>
        </w:rPr>
        <w:t>each of the objectives</w:t>
      </w:r>
      <w:r w:rsidR="00920FB8" w:rsidRPr="00105A96">
        <w:rPr>
          <w:i/>
          <w:iCs/>
        </w:rPr>
        <w:t xml:space="preserve">. </w:t>
      </w:r>
      <w:r w:rsidR="00952533" w:rsidRPr="00105A96">
        <w:rPr>
          <w:i/>
          <w:iCs/>
        </w:rPr>
        <w:t xml:space="preserve">Details </w:t>
      </w:r>
      <w:r w:rsidR="00920FB8" w:rsidRPr="00105A96">
        <w:rPr>
          <w:i/>
          <w:iCs/>
        </w:rPr>
        <w:t xml:space="preserve">from </w:t>
      </w:r>
      <w:r w:rsidR="00952533" w:rsidRPr="00105A96">
        <w:rPr>
          <w:i/>
          <w:iCs/>
        </w:rPr>
        <w:t xml:space="preserve">the Corporate Parenting Strategy </w:t>
      </w:r>
      <w:r w:rsidR="00105A96" w:rsidRPr="00105A96">
        <w:rPr>
          <w:i/>
          <w:iCs/>
        </w:rPr>
        <w:t xml:space="preserve">are </w:t>
      </w:r>
      <w:r w:rsidR="00920FB8" w:rsidRPr="00105A96">
        <w:rPr>
          <w:i/>
          <w:iCs/>
        </w:rPr>
        <w:t xml:space="preserve">recorded in </w:t>
      </w:r>
      <w:proofErr w:type="gramStart"/>
      <w:r w:rsidR="00952533" w:rsidRPr="00105A96">
        <w:rPr>
          <w:i/>
          <w:iCs/>
        </w:rPr>
        <w:t>green</w:t>
      </w:r>
      <w:r w:rsidR="00920FB8" w:rsidRPr="00105A96">
        <w:rPr>
          <w:i/>
          <w:iCs/>
        </w:rPr>
        <w:t>,</w:t>
      </w:r>
      <w:proofErr w:type="gramEnd"/>
      <w:r w:rsidR="00920FB8" w:rsidRPr="00105A96">
        <w:rPr>
          <w:i/>
          <w:iCs/>
        </w:rPr>
        <w:t xml:space="preserve"> </w:t>
      </w:r>
      <w:r w:rsidR="00105A96" w:rsidRPr="00105A96">
        <w:rPr>
          <w:i/>
          <w:iCs/>
        </w:rPr>
        <w:t xml:space="preserve">the </w:t>
      </w:r>
      <w:r w:rsidR="00920FB8" w:rsidRPr="00105A96">
        <w:rPr>
          <w:i/>
          <w:iCs/>
        </w:rPr>
        <w:t>s</w:t>
      </w:r>
      <w:r w:rsidR="00952533" w:rsidRPr="00105A96">
        <w:rPr>
          <w:i/>
          <w:iCs/>
        </w:rPr>
        <w:t xml:space="preserve">ummary of </w:t>
      </w:r>
      <w:r w:rsidR="00105A96" w:rsidRPr="00105A96">
        <w:rPr>
          <w:i/>
          <w:iCs/>
        </w:rPr>
        <w:t xml:space="preserve">the </w:t>
      </w:r>
      <w:r w:rsidR="00952533" w:rsidRPr="00105A96">
        <w:rPr>
          <w:i/>
          <w:iCs/>
        </w:rPr>
        <w:t xml:space="preserve">discussions </w:t>
      </w:r>
      <w:r w:rsidR="00236ECB" w:rsidRPr="00105A96">
        <w:rPr>
          <w:i/>
          <w:iCs/>
        </w:rPr>
        <w:t>is</w:t>
      </w:r>
      <w:r w:rsidR="00920FB8" w:rsidRPr="00105A96">
        <w:rPr>
          <w:i/>
          <w:iCs/>
        </w:rPr>
        <w:t xml:space="preserve"> recorded </w:t>
      </w:r>
      <w:r w:rsidR="00952533" w:rsidRPr="00105A96">
        <w:rPr>
          <w:i/>
          <w:iCs/>
        </w:rPr>
        <w:t>in black font.</w:t>
      </w:r>
    </w:p>
    <w:p w14:paraId="3AA46C05" w14:textId="2DDAE5CD" w:rsidR="008E43BD" w:rsidRDefault="008E43BD">
      <w:r>
        <w:br w:type="page"/>
      </w:r>
    </w:p>
    <w:tbl>
      <w:tblPr>
        <w:tblStyle w:val="TableGrid"/>
        <w:tblW w:w="9067" w:type="dxa"/>
        <w:tblLook w:val="04A0" w:firstRow="1" w:lastRow="0" w:firstColumn="1" w:lastColumn="0" w:noHBand="0" w:noVBand="1"/>
      </w:tblPr>
      <w:tblGrid>
        <w:gridCol w:w="4026"/>
        <w:gridCol w:w="5041"/>
      </w:tblGrid>
      <w:tr w:rsidR="00340474" w14:paraId="7E449F9F" w14:textId="77777777" w:rsidTr="002109E3">
        <w:tc>
          <w:tcPr>
            <w:tcW w:w="4026" w:type="dxa"/>
            <w:vMerge w:val="restart"/>
          </w:tcPr>
          <w:p w14:paraId="221BB91A" w14:textId="77777777" w:rsidR="00340474" w:rsidRDefault="00340474" w:rsidP="000A1311">
            <w:pPr>
              <w:autoSpaceDE w:val="0"/>
              <w:autoSpaceDN w:val="0"/>
              <w:adjustRightInd w:val="0"/>
              <w:rPr>
                <w:rFonts w:ascii="Filmgoer-Regular" w:hAnsi="Filmgoer-Regular" w:cs="Filmgoer-Regular"/>
                <w:color w:val="52D2A9"/>
                <w:sz w:val="72"/>
                <w:szCs w:val="72"/>
              </w:rPr>
            </w:pPr>
            <w:r w:rsidRPr="002109E3">
              <w:rPr>
                <w:rFonts w:ascii="Filmgoer-Regular" w:hAnsi="Filmgoer-Regular" w:cs="Filmgoer-Regular"/>
                <w:color w:val="52D2A9"/>
                <w:sz w:val="72"/>
                <w:szCs w:val="72"/>
              </w:rPr>
              <w:lastRenderedPageBreak/>
              <w:t>Objective</w:t>
            </w:r>
            <w:r>
              <w:rPr>
                <w:rFonts w:ascii="Filmgoer-Regular" w:hAnsi="Filmgoer-Regular" w:cs="Filmgoer-Regular"/>
                <w:color w:val="52D2A9"/>
                <w:sz w:val="72"/>
                <w:szCs w:val="72"/>
              </w:rPr>
              <w:t xml:space="preserve"> 1</w:t>
            </w:r>
          </w:p>
          <w:p w14:paraId="1C98D92A" w14:textId="77777777" w:rsidR="00340474" w:rsidRDefault="00340474" w:rsidP="000A1311"/>
        </w:tc>
        <w:tc>
          <w:tcPr>
            <w:tcW w:w="5041" w:type="dxa"/>
          </w:tcPr>
          <w:p w14:paraId="2ECFD502" w14:textId="77777777" w:rsidR="00340474" w:rsidRDefault="00340474" w:rsidP="000A1311">
            <w:pPr>
              <w:autoSpaceDE w:val="0"/>
              <w:autoSpaceDN w:val="0"/>
              <w:adjustRightInd w:val="0"/>
              <w:rPr>
                <w:rFonts w:ascii="Swiss721BT-Bold" w:hAnsi="Swiss721BT-Bold" w:cs="Swiss721BT-Bold"/>
                <w:b/>
                <w:bCs/>
                <w:color w:val="52D2A9"/>
                <w:sz w:val="26"/>
                <w:szCs w:val="26"/>
              </w:rPr>
            </w:pPr>
            <w:r>
              <w:rPr>
                <w:rFonts w:ascii="Swiss721BT-Bold" w:hAnsi="Swiss721BT-Bold" w:cs="Swiss721BT-Bold"/>
                <w:b/>
                <w:bCs/>
                <w:color w:val="52D2A9"/>
                <w:sz w:val="26"/>
                <w:szCs w:val="26"/>
              </w:rPr>
              <w:t>Children and young people have a voice in the way we deliver our services</w:t>
            </w:r>
          </w:p>
          <w:p w14:paraId="762B82C4" w14:textId="77777777" w:rsidR="00340474" w:rsidRDefault="00340474" w:rsidP="000A1311"/>
        </w:tc>
      </w:tr>
      <w:tr w:rsidR="00340474" w14:paraId="0C134288" w14:textId="77777777" w:rsidTr="002109E3">
        <w:tc>
          <w:tcPr>
            <w:tcW w:w="4026" w:type="dxa"/>
            <w:vMerge/>
          </w:tcPr>
          <w:p w14:paraId="29AC91DF" w14:textId="77777777" w:rsidR="00340474" w:rsidRDefault="00340474" w:rsidP="000A1311"/>
        </w:tc>
        <w:tc>
          <w:tcPr>
            <w:tcW w:w="5041" w:type="dxa"/>
          </w:tcPr>
          <w:p w14:paraId="5C64DC45" w14:textId="77777777" w:rsidR="00340474" w:rsidRDefault="00340474" w:rsidP="000A1311">
            <w:pPr>
              <w:autoSpaceDE w:val="0"/>
              <w:autoSpaceDN w:val="0"/>
              <w:adjustRightInd w:val="0"/>
              <w:rPr>
                <w:rFonts w:ascii="Swiss721BT-Italic" w:hAnsi="Swiss721BT-Italic" w:cs="Swiss721BT-Italic"/>
                <w:i/>
                <w:iCs/>
                <w:color w:val="52D2A9"/>
                <w:sz w:val="26"/>
                <w:szCs w:val="26"/>
              </w:rPr>
            </w:pPr>
            <w:r>
              <w:rPr>
                <w:rFonts w:ascii="Swiss721BT-Italic" w:hAnsi="Swiss721BT-Italic" w:cs="Swiss721BT-Italic"/>
                <w:i/>
                <w:iCs/>
                <w:color w:val="52D2A9"/>
                <w:sz w:val="26"/>
                <w:szCs w:val="26"/>
              </w:rPr>
              <w:t>‘To ensure that children and young people are consulted and actively participate in the decisions we make about how we deliver our services’.</w:t>
            </w:r>
          </w:p>
          <w:p w14:paraId="24632F1D" w14:textId="77777777" w:rsidR="00340474" w:rsidRDefault="00340474" w:rsidP="000A1311"/>
        </w:tc>
      </w:tr>
      <w:tr w:rsidR="00340474" w14:paraId="1D199A0E" w14:textId="77777777" w:rsidTr="002109E3">
        <w:tc>
          <w:tcPr>
            <w:tcW w:w="4026" w:type="dxa"/>
            <w:vMerge/>
          </w:tcPr>
          <w:p w14:paraId="59EC0A76" w14:textId="77777777" w:rsidR="00340474" w:rsidRDefault="00340474" w:rsidP="000A1311"/>
        </w:tc>
        <w:tc>
          <w:tcPr>
            <w:tcW w:w="5041" w:type="dxa"/>
          </w:tcPr>
          <w:p w14:paraId="4F5A2D67" w14:textId="77777777" w:rsidR="00340474" w:rsidRDefault="00340474" w:rsidP="000A1311">
            <w:r>
              <w:rPr>
                <w:rFonts w:ascii="Swiss721BT-Italic" w:hAnsi="Swiss721BT-Italic" w:cs="Swiss721BT-Italic"/>
                <w:i/>
                <w:iCs/>
                <w:color w:val="52D2A9"/>
                <w:sz w:val="26"/>
                <w:szCs w:val="26"/>
              </w:rPr>
              <w:t>‘Nothing about me without me’.</w:t>
            </w:r>
          </w:p>
          <w:p w14:paraId="518CAEC5" w14:textId="77777777" w:rsidR="00340474" w:rsidRDefault="00340474" w:rsidP="000A1311"/>
        </w:tc>
      </w:tr>
      <w:tr w:rsidR="002109E3" w:rsidRPr="002109E3" w14:paraId="037E4461" w14:textId="77777777" w:rsidTr="002109E3">
        <w:tc>
          <w:tcPr>
            <w:tcW w:w="9067" w:type="dxa"/>
            <w:gridSpan w:val="2"/>
          </w:tcPr>
          <w:p w14:paraId="7A37C06F" w14:textId="1C5611A0" w:rsidR="00340474" w:rsidRDefault="00340474" w:rsidP="002109E3">
            <w:pPr>
              <w:pStyle w:val="ListParagraph"/>
              <w:numPr>
                <w:ilvl w:val="0"/>
                <w:numId w:val="3"/>
              </w:numPr>
              <w:ind w:left="447"/>
              <w:rPr>
                <w:b/>
                <w:bCs/>
                <w:color w:val="52D2A9"/>
              </w:rPr>
            </w:pPr>
            <w:r w:rsidRPr="002109E3">
              <w:rPr>
                <w:b/>
                <w:bCs/>
                <w:color w:val="52D2A9"/>
              </w:rPr>
              <w:t>Consultation with Children in Care Council (Lynx and POWAR) and Care Leaver Forum to influence changes to the service</w:t>
            </w:r>
          </w:p>
          <w:p w14:paraId="364D449A" w14:textId="77777777" w:rsidR="002109E3" w:rsidRDefault="002109E3" w:rsidP="002109E3">
            <w:pPr>
              <w:pStyle w:val="ListParagraph"/>
              <w:ind w:left="447"/>
              <w:rPr>
                <w:b/>
                <w:bCs/>
                <w:color w:val="52D2A9"/>
              </w:rPr>
            </w:pPr>
          </w:p>
          <w:p w14:paraId="47DE48C0" w14:textId="4D4D90B3" w:rsidR="00340474" w:rsidRDefault="00340474" w:rsidP="002109E3">
            <w:pPr>
              <w:pStyle w:val="ListParagraph"/>
              <w:numPr>
                <w:ilvl w:val="0"/>
                <w:numId w:val="3"/>
              </w:numPr>
              <w:ind w:left="447"/>
              <w:rPr>
                <w:b/>
                <w:bCs/>
                <w:color w:val="52D2A9"/>
              </w:rPr>
            </w:pPr>
            <w:r w:rsidRPr="002109E3">
              <w:rPr>
                <w:b/>
                <w:bCs/>
                <w:color w:val="52D2A9"/>
              </w:rPr>
              <w:t>Consultation with as many children as possible to shape the service</w:t>
            </w:r>
          </w:p>
          <w:p w14:paraId="437AA99F" w14:textId="77777777" w:rsidR="002109E3" w:rsidRPr="002109E3" w:rsidRDefault="002109E3" w:rsidP="002109E3">
            <w:pPr>
              <w:pStyle w:val="ListParagraph"/>
              <w:rPr>
                <w:b/>
                <w:bCs/>
                <w:color w:val="52D2A9"/>
              </w:rPr>
            </w:pPr>
          </w:p>
          <w:p w14:paraId="3599D347" w14:textId="77777777" w:rsidR="00340474" w:rsidRPr="002109E3" w:rsidRDefault="00340474" w:rsidP="002109E3">
            <w:pPr>
              <w:pStyle w:val="ListParagraph"/>
              <w:numPr>
                <w:ilvl w:val="0"/>
                <w:numId w:val="3"/>
              </w:numPr>
              <w:ind w:left="447"/>
              <w:rPr>
                <w:b/>
                <w:bCs/>
                <w:color w:val="52D2A9"/>
              </w:rPr>
            </w:pPr>
            <w:r w:rsidRPr="002109E3">
              <w:rPr>
                <w:b/>
                <w:bCs/>
                <w:color w:val="52D2A9"/>
              </w:rPr>
              <w:t xml:space="preserve">Using children's and young people's ideas and recommendations to shape service </w:t>
            </w:r>
          </w:p>
          <w:p w14:paraId="694B295A" w14:textId="77777777" w:rsidR="00340474" w:rsidRPr="002109E3" w:rsidRDefault="00340474" w:rsidP="000A1311">
            <w:pPr>
              <w:rPr>
                <w:color w:val="52D2A9"/>
              </w:rPr>
            </w:pPr>
          </w:p>
        </w:tc>
      </w:tr>
    </w:tbl>
    <w:p w14:paraId="43EC5D7E" w14:textId="77777777" w:rsidR="008E43BD" w:rsidRDefault="008E43BD" w:rsidP="00340474">
      <w:pPr>
        <w:rPr>
          <w:b/>
          <w:bCs/>
        </w:rPr>
      </w:pPr>
    </w:p>
    <w:p w14:paraId="04494281" w14:textId="41C52A16" w:rsidR="00340474" w:rsidRPr="00094E47" w:rsidRDefault="00340474" w:rsidP="00340474">
      <w:pPr>
        <w:rPr>
          <w:b/>
          <w:bCs/>
        </w:rPr>
      </w:pPr>
      <w:r w:rsidRPr="00094E47">
        <w:rPr>
          <w:b/>
          <w:bCs/>
        </w:rPr>
        <w:t>CONSULTATION</w:t>
      </w:r>
      <w:r w:rsidR="00094E47">
        <w:rPr>
          <w:b/>
          <w:bCs/>
        </w:rPr>
        <w:t xml:space="preserve"> with children </w:t>
      </w:r>
      <w:r w:rsidR="00367512">
        <w:rPr>
          <w:b/>
          <w:bCs/>
        </w:rPr>
        <w:t xml:space="preserve">and </w:t>
      </w:r>
      <w:r w:rsidR="00094E47">
        <w:rPr>
          <w:b/>
          <w:bCs/>
        </w:rPr>
        <w:t>young people</w:t>
      </w:r>
    </w:p>
    <w:p w14:paraId="1E0DACAF" w14:textId="77777777" w:rsidR="00367512" w:rsidRDefault="00094E47" w:rsidP="00094E47">
      <w:pPr>
        <w:pStyle w:val="ListParagraph"/>
        <w:numPr>
          <w:ilvl w:val="0"/>
          <w:numId w:val="10"/>
        </w:numPr>
      </w:pPr>
      <w:r>
        <w:t xml:space="preserve">Consult with children and young people about how they want to </w:t>
      </w:r>
      <w:proofErr w:type="gramStart"/>
      <w:r>
        <w:t>be connected with</w:t>
      </w:r>
      <w:proofErr w:type="gramEnd"/>
      <w:r>
        <w:t xml:space="preserve"> the </w:t>
      </w:r>
      <w:r w:rsidR="00340474">
        <w:t xml:space="preserve">Corporate Parenting Board and how they want to get information </w:t>
      </w:r>
      <w:r>
        <w:t xml:space="preserve">about what the Corporate Parenting Board has done. </w:t>
      </w:r>
    </w:p>
    <w:p w14:paraId="172B4BCF" w14:textId="77777777" w:rsidR="00367512" w:rsidRDefault="00367512" w:rsidP="00094E47">
      <w:pPr>
        <w:pStyle w:val="ListParagraph"/>
        <w:numPr>
          <w:ilvl w:val="0"/>
          <w:numId w:val="10"/>
        </w:numPr>
      </w:pPr>
      <w:r>
        <w:t xml:space="preserve">Ensure to consult with a wide and broad group of children and young people </w:t>
      </w:r>
    </w:p>
    <w:p w14:paraId="1CB396B3" w14:textId="260FF31E" w:rsidR="00367512" w:rsidRDefault="00367512" w:rsidP="00094E47">
      <w:pPr>
        <w:pStyle w:val="ListParagraph"/>
        <w:numPr>
          <w:ilvl w:val="0"/>
          <w:numId w:val="10"/>
        </w:numPr>
      </w:pPr>
      <w:r>
        <w:t>Ensure not only those children and young people who are confident in repressing their views in meetings and forums are heard</w:t>
      </w:r>
    </w:p>
    <w:p w14:paraId="43AA3A43" w14:textId="1489509A" w:rsidR="00367512" w:rsidRDefault="00367512" w:rsidP="00094E47">
      <w:pPr>
        <w:pStyle w:val="ListParagraph"/>
        <w:numPr>
          <w:ilvl w:val="0"/>
          <w:numId w:val="10"/>
        </w:numPr>
      </w:pPr>
      <w:r>
        <w:t xml:space="preserve">Use a variety of different ways to consult with children and young people, e.g. </w:t>
      </w:r>
    </w:p>
    <w:p w14:paraId="1DFAD945" w14:textId="350F9555" w:rsidR="00367512" w:rsidRDefault="00367512" w:rsidP="00367512">
      <w:pPr>
        <w:pStyle w:val="ListParagraph"/>
        <w:numPr>
          <w:ilvl w:val="1"/>
          <w:numId w:val="11"/>
        </w:numPr>
      </w:pPr>
      <w:r>
        <w:t>attend groups where children and young people meet</w:t>
      </w:r>
    </w:p>
    <w:p w14:paraId="094F8AF4" w14:textId="77777777" w:rsidR="00367512" w:rsidRDefault="00367512" w:rsidP="00367512">
      <w:pPr>
        <w:pStyle w:val="ListParagraph"/>
        <w:numPr>
          <w:ilvl w:val="1"/>
          <w:numId w:val="11"/>
        </w:numPr>
      </w:pPr>
      <w:r>
        <w:t>consider the use of Mind of My Own</w:t>
      </w:r>
    </w:p>
    <w:p w14:paraId="5267A9D8" w14:textId="3551BC22" w:rsidR="00340474" w:rsidRPr="00367512" w:rsidRDefault="00340474" w:rsidP="00340474">
      <w:pPr>
        <w:rPr>
          <w:b/>
          <w:bCs/>
        </w:rPr>
      </w:pPr>
      <w:r w:rsidRPr="00367512">
        <w:rPr>
          <w:b/>
          <w:bCs/>
        </w:rPr>
        <w:t>LANGUAGE</w:t>
      </w:r>
    </w:p>
    <w:p w14:paraId="5293D733" w14:textId="19626C11" w:rsidR="00367512" w:rsidRDefault="00367512" w:rsidP="00367512">
      <w:pPr>
        <w:pStyle w:val="ListParagraph"/>
        <w:numPr>
          <w:ilvl w:val="0"/>
          <w:numId w:val="12"/>
        </w:numPr>
      </w:pPr>
      <w:r>
        <w:t xml:space="preserve">All attendees to avoid jargon and ensure information is fully understood by children and young people </w:t>
      </w:r>
    </w:p>
    <w:p w14:paraId="0E910E38" w14:textId="77777777" w:rsidR="00367512" w:rsidRDefault="00367512" w:rsidP="00367512">
      <w:pPr>
        <w:pStyle w:val="ListParagraph"/>
        <w:numPr>
          <w:ilvl w:val="0"/>
          <w:numId w:val="12"/>
        </w:numPr>
      </w:pPr>
      <w:r>
        <w:t>All reports, presentations etc. to be written in a way that ensures children and young people fully understand the information</w:t>
      </w:r>
    </w:p>
    <w:p w14:paraId="2A2EED68" w14:textId="77777777" w:rsidR="00367512" w:rsidRDefault="00367512" w:rsidP="00367512">
      <w:pPr>
        <w:pStyle w:val="ListParagraph"/>
        <w:numPr>
          <w:ilvl w:val="0"/>
          <w:numId w:val="12"/>
        </w:numPr>
      </w:pPr>
      <w:r>
        <w:t>Reports etc to be 'translated' into better language where this has not been possible</w:t>
      </w:r>
    </w:p>
    <w:p w14:paraId="3974B57A" w14:textId="70B739FF" w:rsidR="00340474" w:rsidRPr="00367512" w:rsidRDefault="00340474" w:rsidP="00340474">
      <w:pPr>
        <w:rPr>
          <w:b/>
          <w:bCs/>
        </w:rPr>
      </w:pPr>
      <w:r w:rsidRPr="00367512">
        <w:rPr>
          <w:b/>
          <w:bCs/>
        </w:rPr>
        <w:t xml:space="preserve">INSIGHT AND AWARNESS </w:t>
      </w:r>
    </w:p>
    <w:p w14:paraId="1AD0421C" w14:textId="77777777" w:rsidR="00AC42A9" w:rsidRDefault="00367512" w:rsidP="00367512">
      <w:pPr>
        <w:pStyle w:val="ListParagraph"/>
        <w:numPr>
          <w:ilvl w:val="0"/>
          <w:numId w:val="13"/>
        </w:numPr>
      </w:pPr>
      <w:r>
        <w:t xml:space="preserve">The board to be provided with </w:t>
      </w:r>
      <w:r w:rsidR="00340474">
        <w:t>young people</w:t>
      </w:r>
      <w:r w:rsidR="00AC42A9">
        <w:t xml:space="preserve">'s </w:t>
      </w:r>
      <w:r w:rsidR="00340474">
        <w:t>stories</w:t>
      </w:r>
      <w:r w:rsidR="00AC42A9">
        <w:t>/</w:t>
      </w:r>
      <w:r w:rsidR="00340474">
        <w:t>testimonies</w:t>
      </w:r>
    </w:p>
    <w:p w14:paraId="72EB96D1" w14:textId="3950DD20" w:rsidR="00340474" w:rsidRPr="00AC42A9" w:rsidRDefault="00340474" w:rsidP="00340474">
      <w:pPr>
        <w:rPr>
          <w:b/>
          <w:bCs/>
        </w:rPr>
      </w:pPr>
      <w:r w:rsidRPr="00AC42A9">
        <w:rPr>
          <w:b/>
          <w:bCs/>
        </w:rPr>
        <w:t>PREPARATION AND SUPPORT</w:t>
      </w:r>
      <w:r w:rsidR="00AC42A9">
        <w:rPr>
          <w:b/>
          <w:bCs/>
        </w:rPr>
        <w:t xml:space="preserve"> for children and young people</w:t>
      </w:r>
    </w:p>
    <w:p w14:paraId="45E54913" w14:textId="474CBCE5" w:rsidR="00340474" w:rsidRDefault="00AC42A9" w:rsidP="00AC42A9">
      <w:pPr>
        <w:pStyle w:val="ListParagraph"/>
        <w:numPr>
          <w:ilvl w:val="0"/>
          <w:numId w:val="13"/>
        </w:numPr>
      </w:pPr>
      <w:r>
        <w:t xml:space="preserve">Regular meetings for children and young people to be set up to provide support, build confidence and strengthen their involvement with </w:t>
      </w:r>
      <w:r w:rsidR="00340474">
        <w:t xml:space="preserve">the Corporate Parenting Board </w:t>
      </w:r>
    </w:p>
    <w:p w14:paraId="5EB7E76A" w14:textId="0225A85C" w:rsidR="00AC42A9" w:rsidRDefault="00AC42A9" w:rsidP="00AC42A9">
      <w:pPr>
        <w:pStyle w:val="ListParagraph"/>
        <w:numPr>
          <w:ilvl w:val="0"/>
          <w:numId w:val="13"/>
        </w:numPr>
      </w:pPr>
      <w:r>
        <w:t>Corporate Parenting Board meetings to be more children and young people friendly, e.g.</w:t>
      </w:r>
    </w:p>
    <w:p w14:paraId="1EA6DB45" w14:textId="47CBEECB" w:rsidR="00AC42A9" w:rsidRDefault="00AC42A9" w:rsidP="00AC42A9">
      <w:pPr>
        <w:pStyle w:val="ListParagraph"/>
        <w:numPr>
          <w:ilvl w:val="1"/>
          <w:numId w:val="13"/>
        </w:numPr>
      </w:pPr>
      <w:r>
        <w:t>Face to face meetings instead of virtual (or hybrid meetings)</w:t>
      </w:r>
    </w:p>
    <w:p w14:paraId="7594BAFC" w14:textId="2E9848D0" w:rsidR="00AC42A9" w:rsidRDefault="00AC42A9" w:rsidP="00AC42A9">
      <w:pPr>
        <w:pStyle w:val="ListParagraph"/>
        <w:numPr>
          <w:ilvl w:val="1"/>
          <w:numId w:val="13"/>
        </w:numPr>
      </w:pPr>
      <w:r>
        <w:t>Support to children and young people throughout the meeting</w:t>
      </w:r>
    </w:p>
    <w:p w14:paraId="232E2875" w14:textId="3F065733" w:rsidR="00AC42A9" w:rsidRDefault="00AC42A9" w:rsidP="00AC42A9">
      <w:pPr>
        <w:pStyle w:val="ListParagraph"/>
        <w:numPr>
          <w:ilvl w:val="1"/>
          <w:numId w:val="13"/>
        </w:numPr>
      </w:pPr>
      <w:r>
        <w:lastRenderedPageBreak/>
        <w:t>Have a pre-meeting for young people to meet some of the board members before the full board meeting</w:t>
      </w:r>
    </w:p>
    <w:p w14:paraId="714C2743" w14:textId="7CDB8FC6" w:rsidR="00AC42A9" w:rsidRDefault="00AC42A9" w:rsidP="00AC42A9">
      <w:pPr>
        <w:pStyle w:val="ListParagraph"/>
        <w:numPr>
          <w:ilvl w:val="1"/>
          <w:numId w:val="13"/>
        </w:numPr>
      </w:pPr>
      <w:r>
        <w:t xml:space="preserve">Offer a buddy </w:t>
      </w:r>
    </w:p>
    <w:p w14:paraId="7EA796E9" w14:textId="0275AC1F" w:rsidR="00340474" w:rsidRPr="00AC42A9" w:rsidRDefault="00340474" w:rsidP="00340474">
      <w:pPr>
        <w:rPr>
          <w:b/>
          <w:bCs/>
        </w:rPr>
      </w:pPr>
      <w:r w:rsidRPr="00AC42A9">
        <w:rPr>
          <w:b/>
          <w:bCs/>
        </w:rPr>
        <w:t>PARTICIPATION</w:t>
      </w:r>
    </w:p>
    <w:p w14:paraId="377B2C63" w14:textId="2289A54A" w:rsidR="00AC42A9" w:rsidRDefault="00AC42A9" w:rsidP="00AC42A9">
      <w:pPr>
        <w:pStyle w:val="ListParagraph"/>
        <w:numPr>
          <w:ilvl w:val="0"/>
          <w:numId w:val="14"/>
        </w:numPr>
      </w:pPr>
      <w:r>
        <w:t>Children and y</w:t>
      </w:r>
      <w:r w:rsidR="00340474">
        <w:t xml:space="preserve">oung </w:t>
      </w:r>
      <w:r>
        <w:t>p</w:t>
      </w:r>
      <w:r w:rsidR="00340474">
        <w:t xml:space="preserve">eople to </w:t>
      </w:r>
      <w:r>
        <w:t>be involved in setting agenda items</w:t>
      </w:r>
    </w:p>
    <w:p w14:paraId="660B01D3" w14:textId="2125562F" w:rsidR="00AC42A9" w:rsidRDefault="00AC42A9" w:rsidP="00AC42A9">
      <w:pPr>
        <w:pStyle w:val="ListParagraph"/>
        <w:numPr>
          <w:ilvl w:val="0"/>
          <w:numId w:val="14"/>
        </w:numPr>
      </w:pPr>
      <w:r>
        <w:t>Children and young people to co-chair the board</w:t>
      </w:r>
    </w:p>
    <w:p w14:paraId="12D40A07" w14:textId="5CEB96BD" w:rsidR="00AC42A9" w:rsidRDefault="00AC42A9" w:rsidP="00AC42A9">
      <w:pPr>
        <w:pStyle w:val="ListParagraph"/>
        <w:numPr>
          <w:ilvl w:val="0"/>
          <w:numId w:val="14"/>
        </w:numPr>
      </w:pPr>
      <w:r>
        <w:t>Children and young to be supported and empowered to challenge the board and professionals</w:t>
      </w:r>
    </w:p>
    <w:p w14:paraId="5F1EE9E4" w14:textId="2472C12E" w:rsidR="00340474" w:rsidRPr="00AC42A9" w:rsidRDefault="00340474" w:rsidP="00340474">
      <w:pPr>
        <w:rPr>
          <w:b/>
          <w:bCs/>
        </w:rPr>
      </w:pPr>
      <w:r w:rsidRPr="00AC42A9">
        <w:rPr>
          <w:b/>
          <w:bCs/>
        </w:rPr>
        <w:t>ACKNOWLEDGEMENT AND FEEDBACK</w:t>
      </w:r>
    </w:p>
    <w:p w14:paraId="2168DD70" w14:textId="29467CF4" w:rsidR="00340474" w:rsidRDefault="00340474" w:rsidP="00AC42A9">
      <w:pPr>
        <w:pStyle w:val="ListParagraph"/>
        <w:numPr>
          <w:ilvl w:val="0"/>
          <w:numId w:val="15"/>
        </w:numPr>
      </w:pPr>
      <w:r>
        <w:t xml:space="preserve">Develop a newsletter from </w:t>
      </w:r>
      <w:r w:rsidR="00AC42A9">
        <w:t xml:space="preserve">the </w:t>
      </w:r>
      <w:r>
        <w:t>Corporate Parenting Board in the style 'you said – we did'</w:t>
      </w:r>
    </w:p>
    <w:p w14:paraId="7AF11F58" w14:textId="36BFA6BB" w:rsidR="00AC42A9" w:rsidRDefault="00AC42A9" w:rsidP="00AC42A9">
      <w:pPr>
        <w:pStyle w:val="ListParagraph"/>
        <w:numPr>
          <w:ilvl w:val="0"/>
          <w:numId w:val="15"/>
        </w:numPr>
      </w:pPr>
      <w:r>
        <w:t>Send 'thank you' messages/cards to young people for their contributions</w:t>
      </w:r>
    </w:p>
    <w:p w14:paraId="716C3590" w14:textId="77777777" w:rsidR="008E43BD" w:rsidRDefault="008E43BD" w:rsidP="008E43BD">
      <w:pPr>
        <w:pStyle w:val="ListParagraph"/>
      </w:pPr>
    </w:p>
    <w:tbl>
      <w:tblPr>
        <w:tblStyle w:val="TableGrid"/>
        <w:tblW w:w="8926" w:type="dxa"/>
        <w:tblLook w:val="04A0" w:firstRow="1" w:lastRow="0" w:firstColumn="1" w:lastColumn="0" w:noHBand="0" w:noVBand="1"/>
      </w:tblPr>
      <w:tblGrid>
        <w:gridCol w:w="5068"/>
        <w:gridCol w:w="3858"/>
      </w:tblGrid>
      <w:tr w:rsidR="00340474" w14:paraId="5D2A7213" w14:textId="77777777" w:rsidTr="002109E3">
        <w:tc>
          <w:tcPr>
            <w:tcW w:w="5068" w:type="dxa"/>
            <w:vMerge w:val="restart"/>
          </w:tcPr>
          <w:p w14:paraId="61006D31" w14:textId="77777777" w:rsidR="00340474" w:rsidRDefault="00340474" w:rsidP="000A1311">
            <w:pPr>
              <w:autoSpaceDE w:val="0"/>
              <w:autoSpaceDN w:val="0"/>
              <w:adjustRightInd w:val="0"/>
              <w:rPr>
                <w:rFonts w:ascii="Filmgoer-Regular" w:hAnsi="Filmgoer-Regular" w:cs="Filmgoer-Regular"/>
                <w:color w:val="52D2A9"/>
                <w:sz w:val="72"/>
                <w:szCs w:val="72"/>
              </w:rPr>
            </w:pPr>
            <w:r>
              <w:rPr>
                <w:rFonts w:ascii="Filmgoer-Regular" w:hAnsi="Filmgoer-Regular" w:cs="Filmgoer-Regular"/>
                <w:color w:val="52D2A9"/>
                <w:sz w:val="72"/>
                <w:szCs w:val="72"/>
              </w:rPr>
              <w:t>Objective 3</w:t>
            </w:r>
          </w:p>
          <w:p w14:paraId="6869DCD8" w14:textId="77777777" w:rsidR="00340474" w:rsidRDefault="00340474" w:rsidP="000A1311"/>
        </w:tc>
        <w:tc>
          <w:tcPr>
            <w:tcW w:w="3858" w:type="dxa"/>
          </w:tcPr>
          <w:p w14:paraId="404A47D3" w14:textId="77777777" w:rsidR="00340474" w:rsidRDefault="00340474" w:rsidP="000A1311">
            <w:pPr>
              <w:autoSpaceDE w:val="0"/>
              <w:autoSpaceDN w:val="0"/>
              <w:adjustRightInd w:val="0"/>
              <w:rPr>
                <w:rFonts w:ascii="Swiss721BT-Bold" w:hAnsi="Swiss721BT-Bold" w:cs="Swiss721BT-Bold"/>
                <w:b/>
                <w:bCs/>
                <w:color w:val="52D2A9"/>
                <w:sz w:val="26"/>
                <w:szCs w:val="26"/>
              </w:rPr>
            </w:pPr>
            <w:r>
              <w:rPr>
                <w:rFonts w:ascii="Swiss721BT-Bold" w:hAnsi="Swiss721BT-Bold" w:cs="Swiss721BT-Bold"/>
                <w:b/>
                <w:bCs/>
                <w:color w:val="52D2A9"/>
                <w:sz w:val="26"/>
                <w:szCs w:val="26"/>
              </w:rPr>
              <w:t>Care leavers in Lancashire will have a ‘Local Offer’</w:t>
            </w:r>
          </w:p>
          <w:p w14:paraId="7CB23F11" w14:textId="77777777" w:rsidR="00340474" w:rsidRDefault="00340474" w:rsidP="000A1311"/>
        </w:tc>
      </w:tr>
      <w:tr w:rsidR="00340474" w14:paraId="002D0130" w14:textId="77777777" w:rsidTr="002109E3">
        <w:tc>
          <w:tcPr>
            <w:tcW w:w="5068" w:type="dxa"/>
            <w:vMerge/>
          </w:tcPr>
          <w:p w14:paraId="40672954" w14:textId="77777777" w:rsidR="00340474" w:rsidRDefault="00340474" w:rsidP="000A1311"/>
        </w:tc>
        <w:tc>
          <w:tcPr>
            <w:tcW w:w="3858" w:type="dxa"/>
          </w:tcPr>
          <w:p w14:paraId="50A960F8" w14:textId="77777777" w:rsidR="00340474" w:rsidRDefault="00340474" w:rsidP="000A1311">
            <w:pPr>
              <w:autoSpaceDE w:val="0"/>
              <w:autoSpaceDN w:val="0"/>
              <w:adjustRightInd w:val="0"/>
              <w:rPr>
                <w:rFonts w:ascii="Swiss721BT-Italic" w:hAnsi="Swiss721BT-Italic" w:cs="Swiss721BT-Italic"/>
                <w:i/>
                <w:iCs/>
                <w:color w:val="52D2A9"/>
                <w:sz w:val="26"/>
                <w:szCs w:val="26"/>
              </w:rPr>
            </w:pPr>
            <w:r>
              <w:rPr>
                <w:rFonts w:ascii="Swiss721BT-Italic" w:hAnsi="Swiss721BT-Italic" w:cs="Swiss721BT-Italic"/>
                <w:i/>
                <w:iCs/>
                <w:color w:val="52D2A9"/>
                <w:sz w:val="26"/>
                <w:szCs w:val="26"/>
              </w:rPr>
              <w:t>‘To ensure that all care leavers feel supported and can</w:t>
            </w:r>
          </w:p>
          <w:p w14:paraId="0CF9E1B0" w14:textId="77777777" w:rsidR="00340474" w:rsidRDefault="00340474" w:rsidP="000A1311">
            <w:pPr>
              <w:autoSpaceDE w:val="0"/>
              <w:autoSpaceDN w:val="0"/>
              <w:adjustRightInd w:val="0"/>
              <w:rPr>
                <w:rFonts w:ascii="Swiss721BT-Italic" w:hAnsi="Swiss721BT-Italic" w:cs="Swiss721BT-Italic"/>
                <w:i/>
                <w:iCs/>
                <w:color w:val="52D2A9"/>
                <w:sz w:val="26"/>
                <w:szCs w:val="26"/>
              </w:rPr>
            </w:pPr>
            <w:r>
              <w:rPr>
                <w:rFonts w:ascii="Swiss721BT-Italic" w:hAnsi="Swiss721BT-Italic" w:cs="Swiss721BT-Italic"/>
                <w:i/>
                <w:iCs/>
                <w:color w:val="52D2A9"/>
                <w:sz w:val="26"/>
                <w:szCs w:val="26"/>
              </w:rPr>
              <w:t>access a range of services to promote their continued</w:t>
            </w:r>
          </w:p>
          <w:p w14:paraId="6953DD60" w14:textId="77777777" w:rsidR="00340474" w:rsidRDefault="00340474" w:rsidP="000A1311">
            <w:r>
              <w:rPr>
                <w:rFonts w:ascii="Swiss721BT-Italic" w:hAnsi="Swiss721BT-Italic" w:cs="Swiss721BT-Italic"/>
                <w:i/>
                <w:iCs/>
                <w:color w:val="52D2A9"/>
                <w:sz w:val="26"/>
                <w:szCs w:val="26"/>
              </w:rPr>
              <w:t>wellbeing into adulthood’.</w:t>
            </w:r>
          </w:p>
          <w:p w14:paraId="51608DCE" w14:textId="77777777" w:rsidR="00340474" w:rsidRDefault="00340474" w:rsidP="000A1311"/>
        </w:tc>
      </w:tr>
      <w:tr w:rsidR="002109E3" w:rsidRPr="002109E3" w14:paraId="6C290456" w14:textId="77777777" w:rsidTr="002109E3">
        <w:tc>
          <w:tcPr>
            <w:tcW w:w="8926" w:type="dxa"/>
            <w:gridSpan w:val="2"/>
          </w:tcPr>
          <w:p w14:paraId="730DF7E1" w14:textId="77777777" w:rsidR="00340474" w:rsidRDefault="00340474" w:rsidP="002109E3">
            <w:pPr>
              <w:pStyle w:val="ListParagraph"/>
              <w:numPr>
                <w:ilvl w:val="0"/>
                <w:numId w:val="4"/>
              </w:numPr>
              <w:ind w:left="447"/>
              <w:rPr>
                <w:b/>
                <w:bCs/>
                <w:color w:val="52D2A9"/>
              </w:rPr>
            </w:pPr>
            <w:r w:rsidRPr="002109E3">
              <w:rPr>
                <w:b/>
                <w:bCs/>
                <w:color w:val="52D2A9"/>
              </w:rPr>
              <w:t xml:space="preserve">Lancashire has a Local Offer for Care Leavers </w:t>
            </w:r>
          </w:p>
          <w:p w14:paraId="038DA614" w14:textId="4C04E690" w:rsidR="002109E3" w:rsidRPr="002109E3" w:rsidRDefault="002109E3" w:rsidP="002109E3">
            <w:pPr>
              <w:pStyle w:val="ListParagraph"/>
              <w:ind w:left="447"/>
              <w:rPr>
                <w:b/>
                <w:bCs/>
                <w:color w:val="52D2A9"/>
              </w:rPr>
            </w:pPr>
          </w:p>
        </w:tc>
      </w:tr>
    </w:tbl>
    <w:p w14:paraId="7C98447C" w14:textId="79EB5D35" w:rsidR="00340474" w:rsidRDefault="00340474" w:rsidP="00340474"/>
    <w:p w14:paraId="5563BECD" w14:textId="54E338A4" w:rsidR="002109E3" w:rsidRPr="00521614" w:rsidRDefault="002109E3" w:rsidP="00340474">
      <w:pPr>
        <w:rPr>
          <w:b/>
          <w:bCs/>
        </w:rPr>
      </w:pPr>
      <w:r w:rsidRPr="00521614">
        <w:rPr>
          <w:b/>
          <w:bCs/>
        </w:rPr>
        <w:t>IMPROVING THE LOCAL OFFER</w:t>
      </w:r>
    </w:p>
    <w:p w14:paraId="76B122BF" w14:textId="7827EF18" w:rsidR="00521614" w:rsidRDefault="00521614" w:rsidP="00521614">
      <w:pPr>
        <w:pStyle w:val="ListParagraph"/>
        <w:numPr>
          <w:ilvl w:val="0"/>
          <w:numId w:val="16"/>
        </w:numPr>
      </w:pPr>
      <w:r>
        <w:t>Exploring free prescriptions for care leavers</w:t>
      </w:r>
    </w:p>
    <w:p w14:paraId="2F0C7058" w14:textId="34CD1A33" w:rsidR="00521614" w:rsidRDefault="00521614" w:rsidP="00521614">
      <w:pPr>
        <w:pStyle w:val="ListParagraph"/>
        <w:numPr>
          <w:ilvl w:val="0"/>
          <w:numId w:val="16"/>
        </w:numPr>
      </w:pPr>
      <w:r>
        <w:t>Exploring free access to leisure centres for care leavers</w:t>
      </w:r>
    </w:p>
    <w:p w14:paraId="3B72EE45" w14:textId="501D457D" w:rsidR="00521614" w:rsidRDefault="00521614" w:rsidP="00521614">
      <w:pPr>
        <w:pStyle w:val="ListParagraph"/>
        <w:numPr>
          <w:ilvl w:val="0"/>
          <w:numId w:val="16"/>
        </w:numPr>
      </w:pPr>
      <w:r>
        <w:t xml:space="preserve">Exploring free travel for care leavers across Lancashire </w:t>
      </w:r>
    </w:p>
    <w:p w14:paraId="0DFFACB2" w14:textId="5E24E353" w:rsidR="00521614" w:rsidRDefault="00521614" w:rsidP="00521614">
      <w:pPr>
        <w:pStyle w:val="ListParagraph"/>
        <w:numPr>
          <w:ilvl w:val="0"/>
          <w:numId w:val="16"/>
        </w:numPr>
      </w:pPr>
      <w:r>
        <w:t>Exploring the 'Plus 1 Scheme' to enable care leavers to do things with a family member or friend</w:t>
      </w:r>
    </w:p>
    <w:p w14:paraId="03F1582C" w14:textId="3F1C2511" w:rsidR="00521614" w:rsidRPr="00521614" w:rsidRDefault="00521614" w:rsidP="00340474">
      <w:pPr>
        <w:rPr>
          <w:b/>
          <w:bCs/>
        </w:rPr>
      </w:pPr>
      <w:r w:rsidRPr="00521614">
        <w:rPr>
          <w:b/>
          <w:bCs/>
        </w:rPr>
        <w:t>IMPROVING PRES</w:t>
      </w:r>
      <w:r w:rsidR="001E3696">
        <w:rPr>
          <w:b/>
          <w:bCs/>
        </w:rPr>
        <w:t xml:space="preserve">ENTATION </w:t>
      </w:r>
      <w:r w:rsidRPr="00521614">
        <w:rPr>
          <w:b/>
          <w:bCs/>
        </w:rPr>
        <w:t>OF THE LOCAL OFFER</w:t>
      </w:r>
    </w:p>
    <w:p w14:paraId="3CE6D578" w14:textId="3FFDEACE" w:rsidR="00521614" w:rsidRDefault="00521614" w:rsidP="00521614">
      <w:pPr>
        <w:pStyle w:val="ListParagraph"/>
        <w:numPr>
          <w:ilvl w:val="0"/>
          <w:numId w:val="17"/>
        </w:numPr>
      </w:pPr>
      <w:r>
        <w:t>Explore different formats in how to share the local offer with young people</w:t>
      </w:r>
    </w:p>
    <w:p w14:paraId="6AEB73A5" w14:textId="12E4B01E" w:rsidR="008E43BD" w:rsidRDefault="008E43BD">
      <w:r>
        <w:br w:type="page"/>
      </w:r>
    </w:p>
    <w:tbl>
      <w:tblPr>
        <w:tblStyle w:val="TableGrid"/>
        <w:tblW w:w="8926" w:type="dxa"/>
        <w:tblLook w:val="04A0" w:firstRow="1" w:lastRow="0" w:firstColumn="1" w:lastColumn="0" w:noHBand="0" w:noVBand="1"/>
      </w:tblPr>
      <w:tblGrid>
        <w:gridCol w:w="4512"/>
        <w:gridCol w:w="4414"/>
      </w:tblGrid>
      <w:tr w:rsidR="002109E3" w14:paraId="197196BE" w14:textId="77777777" w:rsidTr="002109E3">
        <w:tc>
          <w:tcPr>
            <w:tcW w:w="4512" w:type="dxa"/>
            <w:vMerge w:val="restart"/>
          </w:tcPr>
          <w:p w14:paraId="73053393" w14:textId="77777777" w:rsidR="002109E3" w:rsidRDefault="002109E3" w:rsidP="000A1311">
            <w:pPr>
              <w:autoSpaceDE w:val="0"/>
              <w:autoSpaceDN w:val="0"/>
              <w:adjustRightInd w:val="0"/>
              <w:rPr>
                <w:rFonts w:ascii="Filmgoer-Regular" w:hAnsi="Filmgoer-Regular" w:cs="Filmgoer-Regular"/>
                <w:color w:val="52D2A9"/>
                <w:sz w:val="72"/>
                <w:szCs w:val="72"/>
              </w:rPr>
            </w:pPr>
            <w:r>
              <w:rPr>
                <w:rFonts w:ascii="Filmgoer-Regular" w:hAnsi="Filmgoer-Regular" w:cs="Filmgoer-Regular"/>
                <w:color w:val="52D2A9"/>
                <w:sz w:val="72"/>
                <w:szCs w:val="72"/>
              </w:rPr>
              <w:lastRenderedPageBreak/>
              <w:t>Objective 4</w:t>
            </w:r>
          </w:p>
          <w:p w14:paraId="2998949A" w14:textId="77777777" w:rsidR="002109E3" w:rsidRDefault="002109E3" w:rsidP="000A1311"/>
        </w:tc>
        <w:tc>
          <w:tcPr>
            <w:tcW w:w="4414" w:type="dxa"/>
          </w:tcPr>
          <w:p w14:paraId="5D8997B5" w14:textId="77777777" w:rsidR="002109E3" w:rsidRDefault="002109E3" w:rsidP="000A1311">
            <w:pPr>
              <w:autoSpaceDE w:val="0"/>
              <w:autoSpaceDN w:val="0"/>
              <w:adjustRightInd w:val="0"/>
              <w:rPr>
                <w:rFonts w:ascii="Swiss721BT-Bold" w:hAnsi="Swiss721BT-Bold" w:cs="Swiss721BT-Bold"/>
                <w:b/>
                <w:bCs/>
                <w:color w:val="52D2A9"/>
                <w:sz w:val="26"/>
                <w:szCs w:val="26"/>
              </w:rPr>
            </w:pPr>
            <w:r>
              <w:rPr>
                <w:rFonts w:ascii="Swiss721BT-Bold" w:hAnsi="Swiss721BT-Bold" w:cs="Swiss721BT-Bold"/>
                <w:b/>
                <w:bCs/>
                <w:color w:val="52D2A9"/>
                <w:sz w:val="26"/>
                <w:szCs w:val="26"/>
              </w:rPr>
              <w:t>Children and young people will be supported in their education, employment and training</w:t>
            </w:r>
          </w:p>
          <w:p w14:paraId="028DEAB3" w14:textId="77777777" w:rsidR="002109E3" w:rsidRDefault="002109E3" w:rsidP="000A1311"/>
        </w:tc>
      </w:tr>
      <w:tr w:rsidR="002109E3" w14:paraId="26617B8F" w14:textId="77777777" w:rsidTr="002109E3">
        <w:tc>
          <w:tcPr>
            <w:tcW w:w="4512" w:type="dxa"/>
            <w:vMerge/>
          </w:tcPr>
          <w:p w14:paraId="35B0B5F7" w14:textId="77777777" w:rsidR="002109E3" w:rsidRDefault="002109E3" w:rsidP="000A1311"/>
        </w:tc>
        <w:tc>
          <w:tcPr>
            <w:tcW w:w="4414" w:type="dxa"/>
          </w:tcPr>
          <w:p w14:paraId="5741A563" w14:textId="77777777" w:rsidR="002109E3" w:rsidRDefault="002109E3" w:rsidP="000A1311">
            <w:pPr>
              <w:autoSpaceDE w:val="0"/>
              <w:autoSpaceDN w:val="0"/>
              <w:adjustRightInd w:val="0"/>
            </w:pPr>
            <w:r>
              <w:rPr>
                <w:rFonts w:ascii="Swiss721BT-Italic" w:hAnsi="Swiss721BT-Italic" w:cs="Swiss721BT-Italic"/>
                <w:i/>
                <w:iCs/>
                <w:color w:val="52D2A9"/>
                <w:sz w:val="26"/>
                <w:szCs w:val="26"/>
              </w:rPr>
              <w:t>‘To close the achievement gap between those children and young people that the local authority cares for and those that are cared for by their own families’.</w:t>
            </w:r>
          </w:p>
          <w:p w14:paraId="0C72ACF2" w14:textId="77777777" w:rsidR="002109E3" w:rsidRDefault="002109E3" w:rsidP="000A1311"/>
        </w:tc>
      </w:tr>
      <w:tr w:rsidR="002109E3" w:rsidRPr="002109E3" w14:paraId="5248F82B" w14:textId="77777777" w:rsidTr="002109E3">
        <w:tc>
          <w:tcPr>
            <w:tcW w:w="8926" w:type="dxa"/>
            <w:gridSpan w:val="2"/>
          </w:tcPr>
          <w:p w14:paraId="04CDE6E8" w14:textId="1E417CA9" w:rsidR="002109E3" w:rsidRDefault="002109E3" w:rsidP="002109E3">
            <w:pPr>
              <w:pStyle w:val="ListParagraph"/>
              <w:numPr>
                <w:ilvl w:val="0"/>
                <w:numId w:val="4"/>
              </w:numPr>
              <w:ind w:left="447"/>
              <w:rPr>
                <w:b/>
                <w:bCs/>
                <w:color w:val="52D2A9"/>
              </w:rPr>
            </w:pPr>
            <w:r w:rsidRPr="002109E3">
              <w:rPr>
                <w:b/>
                <w:bCs/>
                <w:color w:val="52D2A9"/>
              </w:rPr>
              <w:t>Provide additional support for children in care and leaving care to succeed in EET</w:t>
            </w:r>
          </w:p>
          <w:p w14:paraId="51582AFF" w14:textId="77777777" w:rsidR="002109E3" w:rsidRPr="002109E3" w:rsidRDefault="002109E3" w:rsidP="002109E3">
            <w:pPr>
              <w:pStyle w:val="ListParagraph"/>
              <w:ind w:left="447"/>
              <w:rPr>
                <w:b/>
                <w:bCs/>
                <w:color w:val="52D2A9"/>
              </w:rPr>
            </w:pPr>
          </w:p>
          <w:p w14:paraId="6A201078" w14:textId="3E765D0B" w:rsidR="002109E3" w:rsidRDefault="002109E3" w:rsidP="002109E3">
            <w:pPr>
              <w:pStyle w:val="ListParagraph"/>
              <w:numPr>
                <w:ilvl w:val="0"/>
                <w:numId w:val="4"/>
              </w:numPr>
              <w:ind w:left="447"/>
              <w:rPr>
                <w:b/>
                <w:bCs/>
                <w:color w:val="52D2A9"/>
              </w:rPr>
            </w:pPr>
            <w:r w:rsidRPr="002109E3">
              <w:rPr>
                <w:b/>
                <w:bCs/>
                <w:color w:val="52D2A9"/>
              </w:rPr>
              <w:t xml:space="preserve">Ensure access to a range of education settings </w:t>
            </w:r>
          </w:p>
          <w:p w14:paraId="636DB33F" w14:textId="77777777" w:rsidR="002109E3" w:rsidRPr="002109E3" w:rsidRDefault="002109E3" w:rsidP="002109E3">
            <w:pPr>
              <w:pStyle w:val="ListParagraph"/>
              <w:rPr>
                <w:b/>
                <w:bCs/>
                <w:color w:val="52D2A9"/>
              </w:rPr>
            </w:pPr>
          </w:p>
          <w:p w14:paraId="6B24C2A7" w14:textId="281400F3" w:rsidR="002109E3" w:rsidRDefault="002109E3" w:rsidP="002109E3">
            <w:pPr>
              <w:pStyle w:val="ListParagraph"/>
              <w:numPr>
                <w:ilvl w:val="0"/>
                <w:numId w:val="4"/>
              </w:numPr>
              <w:ind w:left="447"/>
              <w:rPr>
                <w:b/>
                <w:bCs/>
                <w:color w:val="52D2A9"/>
              </w:rPr>
            </w:pPr>
            <w:r w:rsidRPr="002109E3">
              <w:rPr>
                <w:b/>
                <w:bCs/>
                <w:color w:val="52D2A9"/>
              </w:rPr>
              <w:t>Achieve success and for all our children to be their best</w:t>
            </w:r>
          </w:p>
          <w:p w14:paraId="075B893B" w14:textId="77777777" w:rsidR="002109E3" w:rsidRPr="002109E3" w:rsidRDefault="002109E3" w:rsidP="002109E3">
            <w:pPr>
              <w:pStyle w:val="ListParagraph"/>
              <w:rPr>
                <w:b/>
                <w:bCs/>
                <w:color w:val="52D2A9"/>
              </w:rPr>
            </w:pPr>
          </w:p>
          <w:p w14:paraId="7C4C728E" w14:textId="2C5FB4A3" w:rsidR="002109E3" w:rsidRDefault="002109E3" w:rsidP="002109E3">
            <w:pPr>
              <w:pStyle w:val="ListParagraph"/>
              <w:numPr>
                <w:ilvl w:val="0"/>
                <w:numId w:val="4"/>
              </w:numPr>
              <w:ind w:left="447"/>
              <w:rPr>
                <w:b/>
                <w:bCs/>
                <w:color w:val="52D2A9"/>
              </w:rPr>
            </w:pPr>
            <w:r w:rsidRPr="002109E3">
              <w:rPr>
                <w:b/>
                <w:bCs/>
                <w:color w:val="52D2A9"/>
              </w:rPr>
              <w:t>Virtual School provides support and challenge to schools, education providers, social work teams and other key partners</w:t>
            </w:r>
          </w:p>
          <w:p w14:paraId="48B3A636" w14:textId="77777777" w:rsidR="002109E3" w:rsidRPr="002109E3" w:rsidRDefault="002109E3" w:rsidP="002109E3">
            <w:pPr>
              <w:pStyle w:val="ListParagraph"/>
              <w:rPr>
                <w:b/>
                <w:bCs/>
                <w:color w:val="52D2A9"/>
              </w:rPr>
            </w:pPr>
          </w:p>
          <w:p w14:paraId="1BD3B563" w14:textId="25507249" w:rsidR="002109E3" w:rsidRDefault="002109E3" w:rsidP="002109E3">
            <w:pPr>
              <w:pStyle w:val="ListParagraph"/>
              <w:numPr>
                <w:ilvl w:val="0"/>
                <w:numId w:val="4"/>
              </w:numPr>
              <w:ind w:left="447"/>
              <w:rPr>
                <w:b/>
                <w:bCs/>
                <w:color w:val="52D2A9"/>
              </w:rPr>
            </w:pPr>
            <w:r w:rsidRPr="002109E3">
              <w:rPr>
                <w:b/>
                <w:bCs/>
                <w:color w:val="52D2A9"/>
              </w:rPr>
              <w:t xml:space="preserve">Employment Support Team offers steps into employment, apprenticeships, training, volunteering and work experiences for our young people 14-25 </w:t>
            </w:r>
          </w:p>
          <w:p w14:paraId="37F4CBC5" w14:textId="77777777" w:rsidR="002109E3" w:rsidRPr="002109E3" w:rsidRDefault="002109E3" w:rsidP="002109E3">
            <w:pPr>
              <w:pStyle w:val="ListParagraph"/>
              <w:rPr>
                <w:b/>
                <w:bCs/>
                <w:color w:val="52D2A9"/>
              </w:rPr>
            </w:pPr>
          </w:p>
          <w:p w14:paraId="23E25DED" w14:textId="77777777" w:rsidR="002109E3" w:rsidRPr="002109E3" w:rsidRDefault="002109E3" w:rsidP="002109E3">
            <w:pPr>
              <w:pStyle w:val="ListParagraph"/>
              <w:numPr>
                <w:ilvl w:val="0"/>
                <w:numId w:val="4"/>
              </w:numPr>
              <w:ind w:left="447"/>
              <w:rPr>
                <w:b/>
                <w:bCs/>
                <w:color w:val="52D2A9"/>
              </w:rPr>
            </w:pPr>
            <w:r w:rsidRPr="002109E3">
              <w:rPr>
                <w:b/>
                <w:bCs/>
                <w:color w:val="52D2A9"/>
              </w:rPr>
              <w:t>Aim to increase opportunities for the children we care for across Lancashire and ensure that opportunities are provided in each locality</w:t>
            </w:r>
          </w:p>
          <w:p w14:paraId="3E3A0119" w14:textId="77777777" w:rsidR="002109E3" w:rsidRPr="002109E3" w:rsidRDefault="002109E3" w:rsidP="000A1311">
            <w:pPr>
              <w:rPr>
                <w:b/>
                <w:bCs/>
                <w:color w:val="52D2A9"/>
              </w:rPr>
            </w:pPr>
          </w:p>
        </w:tc>
      </w:tr>
    </w:tbl>
    <w:p w14:paraId="2BA67176" w14:textId="5E7CE3FD" w:rsidR="002109E3" w:rsidRDefault="002109E3" w:rsidP="002109E3"/>
    <w:p w14:paraId="78434011" w14:textId="7930B146" w:rsidR="002109E3" w:rsidRPr="006A1AF7" w:rsidRDefault="006A1AF7" w:rsidP="002109E3">
      <w:pPr>
        <w:rPr>
          <w:b/>
          <w:bCs/>
        </w:rPr>
      </w:pPr>
      <w:r w:rsidRPr="006A1AF7">
        <w:rPr>
          <w:b/>
          <w:bCs/>
        </w:rPr>
        <w:t>REDUCE ADVERSE IMPACT</w:t>
      </w:r>
    </w:p>
    <w:p w14:paraId="6FA87F2B" w14:textId="548AA9A5" w:rsidR="002109E3" w:rsidRDefault="006A1AF7" w:rsidP="002109E3">
      <w:pPr>
        <w:pStyle w:val="ListParagraph"/>
        <w:numPr>
          <w:ilvl w:val="0"/>
          <w:numId w:val="17"/>
        </w:numPr>
      </w:pPr>
      <w:r>
        <w:t>Reducing adverse impact of other areas such as housing and physical/emotional health</w:t>
      </w:r>
    </w:p>
    <w:p w14:paraId="4ADA9243" w14:textId="77777777" w:rsidR="006A1AF7" w:rsidRPr="006A1AF7" w:rsidRDefault="006A1AF7" w:rsidP="006A1AF7">
      <w:pPr>
        <w:rPr>
          <w:b/>
          <w:bCs/>
        </w:rPr>
      </w:pPr>
      <w:r w:rsidRPr="006A1AF7">
        <w:rPr>
          <w:b/>
          <w:bCs/>
        </w:rPr>
        <w:t>EDUCATION</w:t>
      </w:r>
    </w:p>
    <w:p w14:paraId="59146865" w14:textId="77777777" w:rsidR="006A1AF7" w:rsidRDefault="006A1AF7" w:rsidP="006A1AF7">
      <w:pPr>
        <w:pStyle w:val="ListParagraph"/>
        <w:numPr>
          <w:ilvl w:val="0"/>
          <w:numId w:val="17"/>
        </w:numPr>
      </w:pPr>
      <w:r>
        <w:t>Aiming high and setting aspirations early at 11/12 years old</w:t>
      </w:r>
    </w:p>
    <w:p w14:paraId="1510A541" w14:textId="77777777" w:rsidR="006A1AF7" w:rsidRDefault="006A1AF7" w:rsidP="006A1AF7">
      <w:pPr>
        <w:pStyle w:val="ListParagraph"/>
        <w:numPr>
          <w:ilvl w:val="0"/>
          <w:numId w:val="17"/>
        </w:numPr>
      </w:pPr>
      <w:r>
        <w:t>Provide equal opportunities for CLA/CL to combat earlier experiences</w:t>
      </w:r>
    </w:p>
    <w:p w14:paraId="5A317158" w14:textId="6179EC08" w:rsidR="006A1AF7" w:rsidRDefault="006A1AF7" w:rsidP="002109E3">
      <w:pPr>
        <w:pStyle w:val="ListParagraph"/>
        <w:numPr>
          <w:ilvl w:val="0"/>
          <w:numId w:val="17"/>
        </w:numPr>
      </w:pPr>
      <w:r>
        <w:t>College and university taster sessions/open days</w:t>
      </w:r>
    </w:p>
    <w:p w14:paraId="1B8C47AC" w14:textId="77777777" w:rsidR="006A1AF7" w:rsidRPr="00521614" w:rsidRDefault="006A1AF7" w:rsidP="006A1AF7">
      <w:pPr>
        <w:rPr>
          <w:b/>
          <w:bCs/>
        </w:rPr>
      </w:pPr>
      <w:r w:rsidRPr="00521614">
        <w:rPr>
          <w:b/>
          <w:bCs/>
        </w:rPr>
        <w:t>APPRENTICESHIPS</w:t>
      </w:r>
    </w:p>
    <w:p w14:paraId="6FA64735" w14:textId="77777777" w:rsidR="006A1AF7" w:rsidRDefault="006A1AF7" w:rsidP="006A1AF7">
      <w:pPr>
        <w:pStyle w:val="ListParagraph"/>
        <w:numPr>
          <w:ilvl w:val="0"/>
          <w:numId w:val="17"/>
        </w:numPr>
      </w:pPr>
      <w:r>
        <w:t>Approach partner organisations for bespoke offers to care leavers</w:t>
      </w:r>
    </w:p>
    <w:p w14:paraId="75158840" w14:textId="1F584BBA" w:rsidR="006A1AF7" w:rsidRDefault="006A1AF7" w:rsidP="002109E3">
      <w:pPr>
        <w:pStyle w:val="ListParagraph"/>
        <w:numPr>
          <w:ilvl w:val="0"/>
          <w:numId w:val="17"/>
        </w:numPr>
      </w:pPr>
      <w:r>
        <w:t>Link to other panels/boards to raise broader awareness and offer to care leavers</w:t>
      </w:r>
    </w:p>
    <w:p w14:paraId="6D5AFE5A" w14:textId="39E3A54D" w:rsidR="002109E3" w:rsidRPr="00521614" w:rsidRDefault="002109E3" w:rsidP="002109E3">
      <w:pPr>
        <w:rPr>
          <w:b/>
          <w:bCs/>
        </w:rPr>
      </w:pPr>
      <w:r w:rsidRPr="00521614">
        <w:rPr>
          <w:b/>
          <w:bCs/>
        </w:rPr>
        <w:t>EMPLOYMENT</w:t>
      </w:r>
    </w:p>
    <w:p w14:paraId="58FA885B" w14:textId="68A59137" w:rsidR="006A1AF7" w:rsidRDefault="00521614" w:rsidP="008E43BD">
      <w:pPr>
        <w:pStyle w:val="ListParagraph"/>
        <w:numPr>
          <w:ilvl w:val="0"/>
          <w:numId w:val="17"/>
        </w:numPr>
      </w:pPr>
      <w:r>
        <w:t>Explore a c</w:t>
      </w:r>
      <w:r w:rsidR="002109E3" w:rsidRPr="009533FF">
        <w:t>ovenant</w:t>
      </w:r>
      <w:r w:rsidR="002109E3">
        <w:t xml:space="preserve"> with </w:t>
      </w:r>
      <w:r>
        <w:t xml:space="preserve">the </w:t>
      </w:r>
      <w:r w:rsidR="002109E3">
        <w:t xml:space="preserve">armed forces </w:t>
      </w:r>
      <w:r>
        <w:t>support care leavers access and support</w:t>
      </w:r>
    </w:p>
    <w:p w14:paraId="127A1F96" w14:textId="54DD47D2" w:rsidR="002109E3" w:rsidRPr="006A1AF7" w:rsidRDefault="002109E3" w:rsidP="002109E3">
      <w:pPr>
        <w:rPr>
          <w:b/>
          <w:bCs/>
        </w:rPr>
      </w:pPr>
      <w:r w:rsidRPr="006A1AF7">
        <w:rPr>
          <w:b/>
          <w:bCs/>
        </w:rPr>
        <w:t>SUPPORT</w:t>
      </w:r>
    </w:p>
    <w:p w14:paraId="30A07C2D" w14:textId="042DC60E" w:rsidR="006A1AF7" w:rsidRDefault="006A1AF7" w:rsidP="006A1AF7">
      <w:pPr>
        <w:pStyle w:val="ListParagraph"/>
        <w:numPr>
          <w:ilvl w:val="0"/>
          <w:numId w:val="18"/>
        </w:numPr>
      </w:pPr>
      <w:r>
        <w:t>Explore peer/buddy/mentoring support</w:t>
      </w:r>
    </w:p>
    <w:p w14:paraId="72425BC0" w14:textId="77777777" w:rsidR="006A1AF7" w:rsidRDefault="006A1AF7" w:rsidP="006A1AF7">
      <w:pPr>
        <w:pStyle w:val="ListParagraph"/>
        <w:numPr>
          <w:ilvl w:val="0"/>
          <w:numId w:val="18"/>
        </w:numPr>
      </w:pPr>
      <w:r>
        <w:t>Identify opportunities for young people to have new experiences, be inspired, raise their aspirations and try something new</w:t>
      </w:r>
    </w:p>
    <w:p w14:paraId="54B2DD2F" w14:textId="3AF9E2D6" w:rsidR="002109E3" w:rsidRDefault="006A1AF7" w:rsidP="002109E3">
      <w:pPr>
        <w:pStyle w:val="ListParagraph"/>
        <w:numPr>
          <w:ilvl w:val="0"/>
          <w:numId w:val="18"/>
        </w:numPr>
      </w:pPr>
      <w:r>
        <w:t>Identify bridging support from NEET to EET</w:t>
      </w:r>
    </w:p>
    <w:p w14:paraId="5C3341B7" w14:textId="14C94D32" w:rsidR="002109E3" w:rsidRPr="006A1AF7" w:rsidRDefault="002109E3" w:rsidP="002109E3">
      <w:pPr>
        <w:rPr>
          <w:b/>
          <w:bCs/>
        </w:rPr>
      </w:pPr>
      <w:r w:rsidRPr="006A1AF7">
        <w:rPr>
          <w:b/>
          <w:bCs/>
        </w:rPr>
        <w:lastRenderedPageBreak/>
        <w:t>MAKING WORK PAY</w:t>
      </w:r>
    </w:p>
    <w:p w14:paraId="0D341D31" w14:textId="41BAC252" w:rsidR="006A1AF7" w:rsidRDefault="006A1AF7" w:rsidP="002109E3">
      <w:pPr>
        <w:pStyle w:val="ListParagraph"/>
        <w:numPr>
          <w:ilvl w:val="0"/>
          <w:numId w:val="5"/>
        </w:numPr>
      </w:pPr>
      <w:r>
        <w:t xml:space="preserve">Agree how to support young people on </w:t>
      </w:r>
      <w:r w:rsidR="00952533">
        <w:t>zero-hour</w:t>
      </w:r>
      <w:r>
        <w:t xml:space="preserve"> contracts</w:t>
      </w:r>
    </w:p>
    <w:p w14:paraId="27A641BA" w14:textId="77777777" w:rsidR="006A1AF7" w:rsidRDefault="006A1AF7" w:rsidP="002109E3">
      <w:pPr>
        <w:pStyle w:val="ListParagraph"/>
        <w:numPr>
          <w:ilvl w:val="0"/>
          <w:numId w:val="5"/>
        </w:numPr>
      </w:pPr>
      <w:r>
        <w:t>Agree how to support young people in/out of employment/benefits</w:t>
      </w:r>
    </w:p>
    <w:p w14:paraId="24FD3E7D" w14:textId="0CF5BBB8" w:rsidR="006A1AF7" w:rsidRDefault="006A1AF7" w:rsidP="002109E3">
      <w:pPr>
        <w:pStyle w:val="ListParagraph"/>
        <w:numPr>
          <w:ilvl w:val="0"/>
          <w:numId w:val="5"/>
        </w:numPr>
      </w:pPr>
      <w:r>
        <w:t>Agree what level of income makes work pay</w:t>
      </w:r>
    </w:p>
    <w:p w14:paraId="4A2F3804" w14:textId="77777777" w:rsidR="008E43BD" w:rsidRDefault="008E43BD" w:rsidP="008E43BD">
      <w:pPr>
        <w:pStyle w:val="ListParagraph"/>
      </w:pPr>
    </w:p>
    <w:tbl>
      <w:tblPr>
        <w:tblStyle w:val="TableGrid"/>
        <w:tblW w:w="9067" w:type="dxa"/>
        <w:tblLook w:val="04A0" w:firstRow="1" w:lastRow="0" w:firstColumn="1" w:lastColumn="0" w:noHBand="0" w:noVBand="1"/>
      </w:tblPr>
      <w:tblGrid>
        <w:gridCol w:w="5665"/>
        <w:gridCol w:w="3402"/>
      </w:tblGrid>
      <w:tr w:rsidR="002109E3" w14:paraId="49F52A4C" w14:textId="77777777" w:rsidTr="002109E3">
        <w:tc>
          <w:tcPr>
            <w:tcW w:w="5665" w:type="dxa"/>
            <w:vMerge w:val="restart"/>
          </w:tcPr>
          <w:p w14:paraId="1FFF38E5" w14:textId="77777777" w:rsidR="002109E3" w:rsidRDefault="002109E3" w:rsidP="000A1311">
            <w:pPr>
              <w:autoSpaceDE w:val="0"/>
              <w:autoSpaceDN w:val="0"/>
              <w:adjustRightInd w:val="0"/>
              <w:rPr>
                <w:rFonts w:ascii="Filmgoer-Regular" w:hAnsi="Filmgoer-Regular" w:cs="Filmgoer-Regular"/>
                <w:color w:val="52D2A9"/>
                <w:sz w:val="72"/>
                <w:szCs w:val="72"/>
              </w:rPr>
            </w:pPr>
            <w:r>
              <w:rPr>
                <w:rFonts w:ascii="Filmgoer-Regular" w:hAnsi="Filmgoer-Regular" w:cs="Filmgoer-Regular"/>
                <w:color w:val="52D2A9"/>
                <w:sz w:val="72"/>
                <w:szCs w:val="72"/>
              </w:rPr>
              <w:t>Objective 5</w:t>
            </w:r>
          </w:p>
          <w:p w14:paraId="1D367120" w14:textId="77777777" w:rsidR="002109E3" w:rsidRDefault="002109E3" w:rsidP="000A1311"/>
        </w:tc>
        <w:tc>
          <w:tcPr>
            <w:tcW w:w="3402" w:type="dxa"/>
          </w:tcPr>
          <w:p w14:paraId="4C9E9A7D" w14:textId="77777777" w:rsidR="002109E3" w:rsidRDefault="002109E3" w:rsidP="000A1311">
            <w:pPr>
              <w:autoSpaceDE w:val="0"/>
              <w:autoSpaceDN w:val="0"/>
              <w:adjustRightInd w:val="0"/>
              <w:rPr>
                <w:rFonts w:ascii="Swiss721BT-Bold" w:hAnsi="Swiss721BT-Bold" w:cs="Swiss721BT-Bold"/>
                <w:b/>
                <w:bCs/>
                <w:color w:val="52D2A9"/>
                <w:sz w:val="26"/>
                <w:szCs w:val="26"/>
              </w:rPr>
            </w:pPr>
            <w:r>
              <w:rPr>
                <w:rFonts w:ascii="Swiss721BT-Bold" w:hAnsi="Swiss721BT-Bold" w:cs="Swiss721BT-Bold"/>
                <w:b/>
                <w:bCs/>
                <w:color w:val="52D2A9"/>
                <w:sz w:val="26"/>
                <w:szCs w:val="26"/>
              </w:rPr>
              <w:t>Children and young people will have a suitable place to live and be cared for</w:t>
            </w:r>
          </w:p>
          <w:p w14:paraId="7B997A49" w14:textId="77777777" w:rsidR="002109E3" w:rsidRDefault="002109E3" w:rsidP="000A1311"/>
        </w:tc>
      </w:tr>
      <w:tr w:rsidR="002109E3" w14:paraId="49AB5901" w14:textId="77777777" w:rsidTr="002109E3">
        <w:tc>
          <w:tcPr>
            <w:tcW w:w="5665" w:type="dxa"/>
            <w:vMerge/>
          </w:tcPr>
          <w:p w14:paraId="5D646F1D" w14:textId="77777777" w:rsidR="002109E3" w:rsidRDefault="002109E3" w:rsidP="000A1311"/>
        </w:tc>
        <w:tc>
          <w:tcPr>
            <w:tcW w:w="3402" w:type="dxa"/>
          </w:tcPr>
          <w:p w14:paraId="71078CA4" w14:textId="77777777" w:rsidR="002109E3" w:rsidRDefault="002109E3" w:rsidP="000A1311">
            <w:pPr>
              <w:autoSpaceDE w:val="0"/>
              <w:autoSpaceDN w:val="0"/>
              <w:adjustRightInd w:val="0"/>
            </w:pPr>
            <w:r>
              <w:rPr>
                <w:rFonts w:ascii="Swiss721BT-Italic" w:hAnsi="Swiss721BT-Italic" w:cs="Swiss721BT-Italic"/>
                <w:i/>
                <w:iCs/>
                <w:color w:val="52D2A9"/>
                <w:sz w:val="26"/>
                <w:szCs w:val="26"/>
              </w:rPr>
              <w:t>‘To ensure that the children and young people we care for have a range of suitable and appropriate accommodation to meet their immediate and long term needs’.</w:t>
            </w:r>
          </w:p>
        </w:tc>
      </w:tr>
      <w:tr w:rsidR="002109E3" w:rsidRPr="002109E3" w14:paraId="464AB4F9" w14:textId="77777777" w:rsidTr="002109E3">
        <w:tc>
          <w:tcPr>
            <w:tcW w:w="9067" w:type="dxa"/>
            <w:gridSpan w:val="2"/>
          </w:tcPr>
          <w:p w14:paraId="4D8244B8" w14:textId="48434E0A" w:rsidR="002109E3" w:rsidRDefault="002109E3" w:rsidP="002109E3">
            <w:pPr>
              <w:pStyle w:val="ListParagraph"/>
              <w:numPr>
                <w:ilvl w:val="0"/>
                <w:numId w:val="6"/>
              </w:numPr>
              <w:ind w:left="447"/>
              <w:rPr>
                <w:b/>
                <w:bCs/>
                <w:color w:val="52D2A9"/>
              </w:rPr>
            </w:pPr>
            <w:r w:rsidRPr="002109E3">
              <w:rPr>
                <w:b/>
                <w:bCs/>
                <w:color w:val="52D2A9"/>
              </w:rPr>
              <w:t>Our children and young people are encouraged and supported to experience positive social and leisure activities to encourage their wellbeing</w:t>
            </w:r>
          </w:p>
          <w:p w14:paraId="5915A0EF" w14:textId="77777777" w:rsidR="002109E3" w:rsidRPr="002109E3" w:rsidRDefault="002109E3" w:rsidP="002109E3">
            <w:pPr>
              <w:pStyle w:val="ListParagraph"/>
              <w:ind w:left="447"/>
              <w:rPr>
                <w:b/>
                <w:bCs/>
                <w:color w:val="52D2A9"/>
              </w:rPr>
            </w:pPr>
          </w:p>
          <w:p w14:paraId="19931A04" w14:textId="2DCBDFB8" w:rsidR="002109E3" w:rsidRDefault="002109E3" w:rsidP="002109E3">
            <w:pPr>
              <w:pStyle w:val="ListParagraph"/>
              <w:numPr>
                <w:ilvl w:val="0"/>
                <w:numId w:val="6"/>
              </w:numPr>
              <w:ind w:left="447"/>
              <w:rPr>
                <w:b/>
                <w:bCs/>
                <w:color w:val="52D2A9"/>
              </w:rPr>
            </w:pPr>
            <w:r w:rsidRPr="002109E3">
              <w:rPr>
                <w:b/>
                <w:bCs/>
                <w:color w:val="52D2A9"/>
              </w:rPr>
              <w:t xml:space="preserve">Housing providers and District Councils work with LCC to provide enough good quality accommodation for care leavers </w:t>
            </w:r>
          </w:p>
          <w:p w14:paraId="519669A0" w14:textId="77777777" w:rsidR="002109E3" w:rsidRPr="002109E3" w:rsidRDefault="002109E3" w:rsidP="002109E3">
            <w:pPr>
              <w:pStyle w:val="ListParagraph"/>
              <w:rPr>
                <w:b/>
                <w:bCs/>
                <w:color w:val="52D2A9"/>
              </w:rPr>
            </w:pPr>
          </w:p>
          <w:p w14:paraId="3B59D6C2" w14:textId="77777777" w:rsidR="002109E3" w:rsidRPr="002109E3" w:rsidRDefault="002109E3" w:rsidP="002109E3">
            <w:pPr>
              <w:pStyle w:val="ListParagraph"/>
              <w:numPr>
                <w:ilvl w:val="0"/>
                <w:numId w:val="6"/>
              </w:numPr>
              <w:ind w:left="447"/>
              <w:rPr>
                <w:b/>
                <w:bCs/>
                <w:color w:val="52D2A9"/>
              </w:rPr>
            </w:pPr>
            <w:r w:rsidRPr="002109E3">
              <w:rPr>
                <w:b/>
                <w:bCs/>
                <w:color w:val="52D2A9"/>
              </w:rPr>
              <w:t>CSC familiarise themselves with accommodation options for care leavers to manage their expectations</w:t>
            </w:r>
          </w:p>
          <w:p w14:paraId="00909903" w14:textId="77777777" w:rsidR="002109E3" w:rsidRPr="002109E3" w:rsidRDefault="002109E3" w:rsidP="000A1311">
            <w:pPr>
              <w:rPr>
                <w:b/>
                <w:bCs/>
                <w:color w:val="52D2A9"/>
              </w:rPr>
            </w:pPr>
          </w:p>
        </w:tc>
      </w:tr>
    </w:tbl>
    <w:p w14:paraId="3B0D86BB" w14:textId="6D679E22" w:rsidR="002109E3" w:rsidRDefault="002109E3" w:rsidP="002109E3"/>
    <w:p w14:paraId="3B2A67C7" w14:textId="1747AADA" w:rsidR="002109E3" w:rsidRPr="006A1AF7" w:rsidRDefault="006A1AF7" w:rsidP="002109E3">
      <w:pPr>
        <w:rPr>
          <w:b/>
          <w:bCs/>
        </w:rPr>
      </w:pPr>
      <w:r w:rsidRPr="006A1AF7">
        <w:rPr>
          <w:b/>
          <w:bCs/>
        </w:rPr>
        <w:t>CARE</w:t>
      </w:r>
      <w:r w:rsidR="00952533">
        <w:rPr>
          <w:b/>
          <w:bCs/>
        </w:rPr>
        <w:t xml:space="preserve"> AND PLACEMENT </w:t>
      </w:r>
      <w:r w:rsidRPr="006A1AF7">
        <w:rPr>
          <w:b/>
          <w:bCs/>
        </w:rPr>
        <w:t>PLANNING</w:t>
      </w:r>
    </w:p>
    <w:p w14:paraId="176364A2" w14:textId="14ABCC5C" w:rsidR="006A1AF7" w:rsidRDefault="00952533" w:rsidP="00952533">
      <w:pPr>
        <w:pStyle w:val="ListParagraph"/>
        <w:numPr>
          <w:ilvl w:val="0"/>
          <w:numId w:val="19"/>
        </w:numPr>
      </w:pPr>
      <w:r>
        <w:t>P</w:t>
      </w:r>
      <w:r w:rsidR="006A1AF7">
        <w:t xml:space="preserve">lacement planning </w:t>
      </w:r>
      <w:r>
        <w:t>to include</w:t>
      </w:r>
      <w:r w:rsidR="006A1AF7">
        <w:t xml:space="preserve"> all partners relevant for the effective planning for that child and young person.</w:t>
      </w:r>
    </w:p>
    <w:p w14:paraId="1D880E8B" w14:textId="2049C2B0" w:rsidR="006A1AF7" w:rsidRDefault="00952533" w:rsidP="002109E3">
      <w:pPr>
        <w:pStyle w:val="ListParagraph"/>
        <w:numPr>
          <w:ilvl w:val="0"/>
          <w:numId w:val="19"/>
        </w:numPr>
      </w:pPr>
      <w:r>
        <w:t>Children's Social Care to implement the guidance and recommendations from the statutory review or unregulated placements.</w:t>
      </w:r>
    </w:p>
    <w:p w14:paraId="38DC7094" w14:textId="52B07C9E" w:rsidR="00952533" w:rsidRPr="00952533" w:rsidRDefault="00952533" w:rsidP="002109E3">
      <w:pPr>
        <w:rPr>
          <w:b/>
          <w:bCs/>
        </w:rPr>
      </w:pPr>
      <w:r w:rsidRPr="00952533">
        <w:rPr>
          <w:b/>
          <w:bCs/>
        </w:rPr>
        <w:t>IMPROVING THE OFFER</w:t>
      </w:r>
    </w:p>
    <w:p w14:paraId="10F683CF" w14:textId="77777777" w:rsidR="002109E3" w:rsidRDefault="002109E3" w:rsidP="00952533">
      <w:pPr>
        <w:pStyle w:val="ListParagraph"/>
        <w:numPr>
          <w:ilvl w:val="0"/>
          <w:numId w:val="20"/>
        </w:numPr>
      </w:pPr>
      <w:r>
        <w:t>LCC and District Councils (each) to set out to young people their placement, accommodation and housing offer for them and their roles and responsibilities.</w:t>
      </w:r>
    </w:p>
    <w:p w14:paraId="5C2B67CD" w14:textId="1D9A14EA" w:rsidR="002109E3" w:rsidRDefault="00952533" w:rsidP="002109E3">
      <w:pPr>
        <w:pStyle w:val="ListParagraph"/>
        <w:numPr>
          <w:ilvl w:val="0"/>
          <w:numId w:val="20"/>
        </w:numPr>
      </w:pPr>
      <w:r>
        <w:t>The Corporate Parenting Board and District Councils to work together to secure housing provisions for care leavers through the planning application process for new housing developments.</w:t>
      </w:r>
    </w:p>
    <w:p w14:paraId="4AD677F1" w14:textId="74FE99A2" w:rsidR="00952533" w:rsidRPr="00952533" w:rsidRDefault="00952533" w:rsidP="002109E3">
      <w:pPr>
        <w:rPr>
          <w:b/>
          <w:bCs/>
        </w:rPr>
      </w:pPr>
      <w:r w:rsidRPr="00952533">
        <w:rPr>
          <w:b/>
          <w:bCs/>
        </w:rPr>
        <w:t>FINANCIAL SUPPORT</w:t>
      </w:r>
    </w:p>
    <w:p w14:paraId="083A07E1" w14:textId="77777777" w:rsidR="002109E3" w:rsidRDefault="002109E3" w:rsidP="00952533">
      <w:pPr>
        <w:pStyle w:val="ListParagraph"/>
        <w:numPr>
          <w:ilvl w:val="0"/>
          <w:numId w:val="21"/>
        </w:numPr>
      </w:pPr>
      <w:r>
        <w:t>District Councils provide clear advise to young people about how housing benefit is calculated when living in supported accommodation and earning an income from work.</w:t>
      </w:r>
    </w:p>
    <w:p w14:paraId="272DDAC1" w14:textId="448409A2" w:rsidR="002109E3" w:rsidRDefault="002109E3" w:rsidP="002109E3">
      <w:pPr>
        <w:pStyle w:val="ListParagraph"/>
        <w:numPr>
          <w:ilvl w:val="0"/>
          <w:numId w:val="21"/>
        </w:numPr>
      </w:pPr>
      <w:r w:rsidRPr="00314F8F">
        <w:t>District Councils to consider waiving unreasonably rent charges for young people living in supported accommodation and earning an income from work</w:t>
      </w:r>
    </w:p>
    <w:p w14:paraId="3FDCCDE4" w14:textId="77777777" w:rsidR="00952533" w:rsidRDefault="00952533" w:rsidP="002109E3"/>
    <w:tbl>
      <w:tblPr>
        <w:tblStyle w:val="TableGrid"/>
        <w:tblW w:w="9067" w:type="dxa"/>
        <w:tblLook w:val="04A0" w:firstRow="1" w:lastRow="0" w:firstColumn="1" w:lastColumn="0" w:noHBand="0" w:noVBand="1"/>
      </w:tblPr>
      <w:tblGrid>
        <w:gridCol w:w="3670"/>
        <w:gridCol w:w="5397"/>
      </w:tblGrid>
      <w:tr w:rsidR="002109E3" w14:paraId="32443E78" w14:textId="77777777" w:rsidTr="00952533">
        <w:tc>
          <w:tcPr>
            <w:tcW w:w="3670" w:type="dxa"/>
            <w:vMerge w:val="restart"/>
          </w:tcPr>
          <w:p w14:paraId="2C3A838E" w14:textId="77777777" w:rsidR="002109E3" w:rsidRDefault="002109E3" w:rsidP="000A1311">
            <w:pPr>
              <w:autoSpaceDE w:val="0"/>
              <w:autoSpaceDN w:val="0"/>
              <w:adjustRightInd w:val="0"/>
              <w:rPr>
                <w:rFonts w:ascii="Filmgoer-Regular" w:hAnsi="Filmgoer-Regular" w:cs="Filmgoer-Regular"/>
                <w:color w:val="52D2A9"/>
                <w:sz w:val="72"/>
                <w:szCs w:val="72"/>
              </w:rPr>
            </w:pPr>
            <w:r>
              <w:rPr>
                <w:rFonts w:ascii="Filmgoer-Regular" w:hAnsi="Filmgoer-Regular" w:cs="Filmgoer-Regular"/>
                <w:color w:val="52D2A9"/>
                <w:sz w:val="72"/>
                <w:szCs w:val="72"/>
              </w:rPr>
              <w:lastRenderedPageBreak/>
              <w:t>Objective 6</w:t>
            </w:r>
          </w:p>
          <w:p w14:paraId="5BD5A10C" w14:textId="77777777" w:rsidR="002109E3" w:rsidRDefault="002109E3" w:rsidP="000A1311"/>
        </w:tc>
        <w:tc>
          <w:tcPr>
            <w:tcW w:w="5397" w:type="dxa"/>
          </w:tcPr>
          <w:p w14:paraId="2D90279F" w14:textId="77777777" w:rsidR="002109E3" w:rsidRDefault="002109E3" w:rsidP="000A1311">
            <w:pPr>
              <w:autoSpaceDE w:val="0"/>
              <w:autoSpaceDN w:val="0"/>
              <w:adjustRightInd w:val="0"/>
              <w:rPr>
                <w:rFonts w:ascii="Swiss721BT-Bold" w:hAnsi="Swiss721BT-Bold" w:cs="Swiss721BT-Bold"/>
                <w:b/>
                <w:bCs/>
                <w:color w:val="52D2A9"/>
                <w:sz w:val="26"/>
                <w:szCs w:val="26"/>
              </w:rPr>
            </w:pPr>
            <w:r>
              <w:rPr>
                <w:rFonts w:ascii="Swiss721BT-Bold" w:hAnsi="Swiss721BT-Bold" w:cs="Swiss721BT-Bold"/>
                <w:b/>
                <w:bCs/>
                <w:color w:val="52D2A9"/>
                <w:sz w:val="26"/>
                <w:szCs w:val="26"/>
              </w:rPr>
              <w:t>The health and wellbeing of our children and young people in care and care leavers will be a priority for Lancashire County Council</w:t>
            </w:r>
          </w:p>
          <w:p w14:paraId="0E4CC593" w14:textId="77777777" w:rsidR="002109E3" w:rsidRDefault="002109E3" w:rsidP="000A1311"/>
        </w:tc>
      </w:tr>
      <w:tr w:rsidR="002109E3" w14:paraId="74E16AD9" w14:textId="77777777" w:rsidTr="00952533">
        <w:tc>
          <w:tcPr>
            <w:tcW w:w="3670" w:type="dxa"/>
            <w:vMerge/>
          </w:tcPr>
          <w:p w14:paraId="7F1D3F8E" w14:textId="77777777" w:rsidR="002109E3" w:rsidRDefault="002109E3" w:rsidP="000A1311"/>
        </w:tc>
        <w:tc>
          <w:tcPr>
            <w:tcW w:w="5397" w:type="dxa"/>
          </w:tcPr>
          <w:p w14:paraId="201C331C" w14:textId="77777777" w:rsidR="002109E3" w:rsidRDefault="002109E3" w:rsidP="000A1311">
            <w:pPr>
              <w:autoSpaceDE w:val="0"/>
              <w:autoSpaceDN w:val="0"/>
              <w:adjustRightInd w:val="0"/>
            </w:pPr>
            <w:r>
              <w:rPr>
                <w:rFonts w:ascii="Swiss721BT-Italic" w:hAnsi="Swiss721BT-Italic" w:cs="Swiss721BT-Italic"/>
                <w:i/>
                <w:iCs/>
                <w:color w:val="52D2A9"/>
                <w:sz w:val="26"/>
                <w:szCs w:val="26"/>
              </w:rPr>
              <w:t>‘To improve the health and wellbeing of the children and young people we care for’.</w:t>
            </w:r>
          </w:p>
        </w:tc>
      </w:tr>
      <w:tr w:rsidR="00094E47" w:rsidRPr="00094E47" w14:paraId="59B38D13" w14:textId="77777777" w:rsidTr="00952533">
        <w:tc>
          <w:tcPr>
            <w:tcW w:w="9067" w:type="dxa"/>
            <w:gridSpan w:val="2"/>
          </w:tcPr>
          <w:p w14:paraId="06CCF116" w14:textId="2B2B0F06" w:rsidR="002109E3" w:rsidRDefault="002109E3" w:rsidP="00094E47">
            <w:pPr>
              <w:pStyle w:val="ListParagraph"/>
              <w:numPr>
                <w:ilvl w:val="0"/>
                <w:numId w:val="8"/>
              </w:numPr>
              <w:ind w:left="447"/>
              <w:rPr>
                <w:b/>
                <w:bCs/>
                <w:color w:val="52D2A9"/>
              </w:rPr>
            </w:pPr>
            <w:r w:rsidRPr="00094E47">
              <w:rPr>
                <w:b/>
                <w:bCs/>
                <w:color w:val="52D2A9"/>
              </w:rPr>
              <w:t>Health partners have a significant role in identify, delivering and improving the health of children and young people looked after and leaving care</w:t>
            </w:r>
          </w:p>
          <w:p w14:paraId="2DEC2CCD" w14:textId="77777777" w:rsidR="00094E47" w:rsidRPr="00094E47" w:rsidRDefault="00094E47" w:rsidP="00094E47">
            <w:pPr>
              <w:pStyle w:val="ListParagraph"/>
              <w:ind w:left="447"/>
              <w:rPr>
                <w:b/>
                <w:bCs/>
                <w:color w:val="52D2A9"/>
              </w:rPr>
            </w:pPr>
          </w:p>
          <w:p w14:paraId="7F497BFB" w14:textId="3452B1D6" w:rsidR="002109E3" w:rsidRDefault="002109E3" w:rsidP="00094E47">
            <w:pPr>
              <w:pStyle w:val="ListParagraph"/>
              <w:numPr>
                <w:ilvl w:val="0"/>
                <w:numId w:val="8"/>
              </w:numPr>
              <w:ind w:left="447"/>
              <w:rPr>
                <w:b/>
                <w:bCs/>
                <w:color w:val="52D2A9"/>
              </w:rPr>
            </w:pPr>
            <w:r w:rsidRPr="00094E47">
              <w:rPr>
                <w:b/>
                <w:bCs/>
                <w:color w:val="52D2A9"/>
              </w:rPr>
              <w:t xml:space="preserve">CLA nurses liaise with wider health economy to meet health needs best </w:t>
            </w:r>
          </w:p>
          <w:p w14:paraId="7B0721DD" w14:textId="77777777" w:rsidR="00094E47" w:rsidRPr="00094E47" w:rsidRDefault="00094E47" w:rsidP="00094E47">
            <w:pPr>
              <w:pStyle w:val="ListParagraph"/>
              <w:rPr>
                <w:b/>
                <w:bCs/>
                <w:color w:val="52D2A9"/>
              </w:rPr>
            </w:pPr>
          </w:p>
          <w:p w14:paraId="412645B8" w14:textId="77777777" w:rsidR="002109E3" w:rsidRPr="00094E47" w:rsidRDefault="002109E3" w:rsidP="00094E47">
            <w:pPr>
              <w:pStyle w:val="ListParagraph"/>
              <w:numPr>
                <w:ilvl w:val="0"/>
                <w:numId w:val="8"/>
              </w:numPr>
              <w:ind w:left="447"/>
              <w:rPr>
                <w:b/>
                <w:bCs/>
                <w:color w:val="52D2A9"/>
              </w:rPr>
            </w:pPr>
            <w:r w:rsidRPr="00094E47">
              <w:rPr>
                <w:b/>
                <w:bCs/>
                <w:color w:val="52D2A9"/>
              </w:rPr>
              <w:t>Working with ASC to ensure continued support is planned for before young people reach adulthood</w:t>
            </w:r>
          </w:p>
          <w:p w14:paraId="744D6F4B" w14:textId="77777777" w:rsidR="002109E3" w:rsidRPr="00094E47" w:rsidRDefault="002109E3" w:rsidP="000A1311">
            <w:pPr>
              <w:rPr>
                <w:b/>
                <w:bCs/>
                <w:color w:val="52D2A9"/>
              </w:rPr>
            </w:pPr>
          </w:p>
        </w:tc>
      </w:tr>
    </w:tbl>
    <w:p w14:paraId="0B72EEE4" w14:textId="467C5894" w:rsidR="002109E3" w:rsidRDefault="002109E3" w:rsidP="002109E3"/>
    <w:p w14:paraId="2B5EF15F" w14:textId="7641DD03" w:rsidR="00C45CF4" w:rsidRPr="00BD6580" w:rsidRDefault="00D61F3D" w:rsidP="002109E3">
      <w:pPr>
        <w:rPr>
          <w:b/>
          <w:bCs/>
        </w:rPr>
      </w:pPr>
      <w:r w:rsidRPr="00BD6580">
        <w:rPr>
          <w:b/>
          <w:bCs/>
        </w:rPr>
        <w:t xml:space="preserve">MONITORING HEALTH </w:t>
      </w:r>
      <w:r w:rsidR="00BD6580" w:rsidRPr="00BD6580">
        <w:rPr>
          <w:b/>
          <w:bCs/>
        </w:rPr>
        <w:t>OUTCOMES</w:t>
      </w:r>
    </w:p>
    <w:p w14:paraId="6B2DBE1E" w14:textId="06CBD8F9" w:rsidR="00D61F3D" w:rsidRDefault="00BD6580" w:rsidP="00BD6580">
      <w:pPr>
        <w:pStyle w:val="ListParagraph"/>
        <w:numPr>
          <w:ilvl w:val="0"/>
          <w:numId w:val="22"/>
        </w:numPr>
      </w:pPr>
      <w:r>
        <w:t>The board to receive health performance data on a regular basis</w:t>
      </w:r>
    </w:p>
    <w:p w14:paraId="554F89A5" w14:textId="7F1495EC" w:rsidR="00BD6580" w:rsidRDefault="00175B6E" w:rsidP="00BD6580">
      <w:pPr>
        <w:pStyle w:val="ListParagraph"/>
        <w:numPr>
          <w:ilvl w:val="0"/>
          <w:numId w:val="22"/>
        </w:numPr>
      </w:pPr>
      <w:r>
        <w:t>Themes to be identified and addressed</w:t>
      </w:r>
    </w:p>
    <w:p w14:paraId="5D9B5384" w14:textId="77777777" w:rsidR="00175B6E" w:rsidRDefault="00175B6E" w:rsidP="00175B6E">
      <w:pPr>
        <w:pStyle w:val="ListParagraph"/>
        <w:numPr>
          <w:ilvl w:val="0"/>
          <w:numId w:val="22"/>
        </w:numPr>
      </w:pPr>
      <w:r>
        <w:t>The board to be provided with young people's stories/testimonies</w:t>
      </w:r>
    </w:p>
    <w:p w14:paraId="67631731" w14:textId="2C86B7D5" w:rsidR="00175B6E" w:rsidRDefault="003604C4" w:rsidP="002109E3">
      <w:pPr>
        <w:pStyle w:val="ListParagraph"/>
        <w:numPr>
          <w:ilvl w:val="0"/>
          <w:numId w:val="22"/>
        </w:numPr>
      </w:pPr>
      <w:r>
        <w:t xml:space="preserve">The board to be provided with additional information for children with disability and </w:t>
      </w:r>
      <w:r w:rsidR="006E6FB7">
        <w:t>special educational needs to improve the understanding of health outcomes for this group</w:t>
      </w:r>
    </w:p>
    <w:p w14:paraId="6F8635DE" w14:textId="74BF9C2E" w:rsidR="00175B6E" w:rsidRPr="00B24D24" w:rsidRDefault="006B62ED" w:rsidP="002109E3">
      <w:pPr>
        <w:rPr>
          <w:b/>
          <w:bCs/>
        </w:rPr>
      </w:pPr>
      <w:r w:rsidRPr="00B24D24">
        <w:rPr>
          <w:b/>
          <w:bCs/>
        </w:rPr>
        <w:t>ACCESS TO EMOTIONAL WELLBEING AND MENTAL HEALTH PROVISIONS</w:t>
      </w:r>
    </w:p>
    <w:p w14:paraId="75D781C6" w14:textId="0144969C" w:rsidR="006B62ED" w:rsidRDefault="00C31818" w:rsidP="006B62ED">
      <w:pPr>
        <w:pStyle w:val="ListParagraph"/>
        <w:numPr>
          <w:ilvl w:val="0"/>
          <w:numId w:val="23"/>
        </w:numPr>
      </w:pPr>
      <w:r>
        <w:t>Improve access, availability and priority for CLA/CL</w:t>
      </w:r>
    </w:p>
    <w:p w14:paraId="2F1B68A2" w14:textId="7D9328FE" w:rsidR="006B62ED" w:rsidRDefault="00B14C40" w:rsidP="002109E3">
      <w:pPr>
        <w:pStyle w:val="ListParagraph"/>
        <w:numPr>
          <w:ilvl w:val="0"/>
          <w:numId w:val="23"/>
        </w:numPr>
      </w:pPr>
      <w:r>
        <w:t xml:space="preserve">Review the current offer of emotional and mental health services in Lancashire and consider whether additional services are needed </w:t>
      </w:r>
      <w:r w:rsidR="007B748F">
        <w:t>(e.g. CASHA)</w:t>
      </w:r>
    </w:p>
    <w:p w14:paraId="57E98F1B" w14:textId="04952946" w:rsidR="00B24D24" w:rsidRPr="00B24D24" w:rsidRDefault="00B24D24" w:rsidP="002109E3">
      <w:pPr>
        <w:rPr>
          <w:b/>
          <w:bCs/>
        </w:rPr>
      </w:pPr>
      <w:r w:rsidRPr="00B24D24">
        <w:rPr>
          <w:b/>
          <w:bCs/>
        </w:rPr>
        <w:t xml:space="preserve">IMPACT OF </w:t>
      </w:r>
      <w:r w:rsidR="00DF121B">
        <w:rPr>
          <w:b/>
          <w:bCs/>
        </w:rPr>
        <w:t xml:space="preserve">THE </w:t>
      </w:r>
      <w:r w:rsidRPr="00B24D24">
        <w:rPr>
          <w:b/>
          <w:bCs/>
        </w:rPr>
        <w:t>PANDEMIC</w:t>
      </w:r>
    </w:p>
    <w:p w14:paraId="7C397025" w14:textId="74E4A544" w:rsidR="00B24D24" w:rsidRDefault="00B24D24" w:rsidP="00B24D24">
      <w:pPr>
        <w:pStyle w:val="ListParagraph"/>
        <w:numPr>
          <w:ilvl w:val="0"/>
          <w:numId w:val="24"/>
        </w:numPr>
      </w:pPr>
      <w:r>
        <w:t>Identify support to overcome the impact of the pandemic and plans to recover</w:t>
      </w:r>
    </w:p>
    <w:p w14:paraId="203AB800" w14:textId="33C79B52" w:rsidR="002109E3" w:rsidRPr="00DF121B" w:rsidRDefault="00EA4CFA" w:rsidP="002109E3">
      <w:pPr>
        <w:rPr>
          <w:b/>
          <w:bCs/>
        </w:rPr>
      </w:pPr>
      <w:r w:rsidRPr="00DF121B">
        <w:rPr>
          <w:b/>
          <w:bCs/>
        </w:rPr>
        <w:t xml:space="preserve">ALTERNATIVE </w:t>
      </w:r>
      <w:r w:rsidR="00846BCC">
        <w:rPr>
          <w:b/>
          <w:bCs/>
        </w:rPr>
        <w:t>HEALTH ASSESSMENT EXAMINATION FOR YOUNG PEOPLE 16+</w:t>
      </w:r>
    </w:p>
    <w:p w14:paraId="37E0A785" w14:textId="6227211C" w:rsidR="002109E3" w:rsidRDefault="00846BCC" w:rsidP="002109E3">
      <w:pPr>
        <w:pStyle w:val="ListParagraph"/>
        <w:numPr>
          <w:ilvl w:val="0"/>
          <w:numId w:val="24"/>
        </w:numPr>
      </w:pPr>
      <w:r>
        <w:t xml:space="preserve">Young people 16+ should have the option to be examined by </w:t>
      </w:r>
      <w:r w:rsidR="00A06C11">
        <w:t xml:space="preserve">other health professionals instead of only paediatricians as none looked after peers </w:t>
      </w:r>
      <w:r w:rsidR="00B97A9C">
        <w:t>would not be seen by a paediatrician but GP.</w:t>
      </w:r>
    </w:p>
    <w:p w14:paraId="122E2ABB" w14:textId="102A0F91" w:rsidR="008E43BD" w:rsidRDefault="008E43BD">
      <w:r>
        <w:br w:type="page"/>
      </w:r>
    </w:p>
    <w:tbl>
      <w:tblPr>
        <w:tblStyle w:val="TableGrid"/>
        <w:tblW w:w="9067" w:type="dxa"/>
        <w:tblLook w:val="04A0" w:firstRow="1" w:lastRow="0" w:firstColumn="1" w:lastColumn="0" w:noHBand="0" w:noVBand="1"/>
      </w:tblPr>
      <w:tblGrid>
        <w:gridCol w:w="3635"/>
        <w:gridCol w:w="5432"/>
      </w:tblGrid>
      <w:tr w:rsidR="002109E3" w14:paraId="5B595629" w14:textId="77777777" w:rsidTr="002109E3">
        <w:tc>
          <w:tcPr>
            <w:tcW w:w="3635" w:type="dxa"/>
            <w:vMerge w:val="restart"/>
          </w:tcPr>
          <w:p w14:paraId="4087758E" w14:textId="77777777" w:rsidR="002109E3" w:rsidRDefault="002109E3" w:rsidP="000A1311">
            <w:pPr>
              <w:autoSpaceDE w:val="0"/>
              <w:autoSpaceDN w:val="0"/>
              <w:adjustRightInd w:val="0"/>
              <w:rPr>
                <w:rFonts w:ascii="Filmgoer-Regular" w:hAnsi="Filmgoer-Regular" w:cs="Filmgoer-Regular"/>
                <w:color w:val="52D2A9"/>
                <w:sz w:val="72"/>
                <w:szCs w:val="72"/>
              </w:rPr>
            </w:pPr>
            <w:r>
              <w:rPr>
                <w:rFonts w:ascii="Filmgoer-Regular" w:hAnsi="Filmgoer-Regular" w:cs="Filmgoer-Regular"/>
                <w:color w:val="52D2A9"/>
                <w:sz w:val="72"/>
                <w:szCs w:val="72"/>
              </w:rPr>
              <w:lastRenderedPageBreak/>
              <w:t>Objective 7</w:t>
            </w:r>
          </w:p>
          <w:p w14:paraId="27B59311" w14:textId="77777777" w:rsidR="002109E3" w:rsidRDefault="002109E3" w:rsidP="000A1311"/>
        </w:tc>
        <w:tc>
          <w:tcPr>
            <w:tcW w:w="5432" w:type="dxa"/>
          </w:tcPr>
          <w:p w14:paraId="7BD7BBC7" w14:textId="77777777" w:rsidR="002109E3" w:rsidRDefault="002109E3" w:rsidP="000A1311">
            <w:pPr>
              <w:autoSpaceDE w:val="0"/>
              <w:autoSpaceDN w:val="0"/>
              <w:adjustRightInd w:val="0"/>
              <w:rPr>
                <w:rFonts w:ascii="Swiss721BT-Bold" w:hAnsi="Swiss721BT-Bold" w:cs="Swiss721BT-Bold"/>
                <w:b/>
                <w:bCs/>
                <w:color w:val="52D2A9"/>
                <w:sz w:val="26"/>
                <w:szCs w:val="26"/>
              </w:rPr>
            </w:pPr>
            <w:r>
              <w:rPr>
                <w:rFonts w:ascii="Swiss721BT-Bold" w:hAnsi="Swiss721BT-Bold" w:cs="Swiss721BT-Bold"/>
                <w:b/>
                <w:bCs/>
                <w:color w:val="52D2A9"/>
                <w:sz w:val="26"/>
                <w:szCs w:val="26"/>
              </w:rPr>
              <w:t>Children and young people will receive appropriate financial support</w:t>
            </w:r>
          </w:p>
          <w:p w14:paraId="1E4BC1DF" w14:textId="77777777" w:rsidR="002109E3" w:rsidRDefault="002109E3" w:rsidP="000A1311"/>
        </w:tc>
      </w:tr>
      <w:tr w:rsidR="002109E3" w14:paraId="38E8AA1D" w14:textId="77777777" w:rsidTr="002109E3">
        <w:tc>
          <w:tcPr>
            <w:tcW w:w="3635" w:type="dxa"/>
            <w:vMerge/>
          </w:tcPr>
          <w:p w14:paraId="0D4B4E0C" w14:textId="77777777" w:rsidR="002109E3" w:rsidRDefault="002109E3" w:rsidP="000A1311"/>
        </w:tc>
        <w:tc>
          <w:tcPr>
            <w:tcW w:w="5432" w:type="dxa"/>
          </w:tcPr>
          <w:p w14:paraId="1CFDCC19" w14:textId="77777777" w:rsidR="002109E3" w:rsidRDefault="002109E3" w:rsidP="000A1311">
            <w:pPr>
              <w:autoSpaceDE w:val="0"/>
              <w:autoSpaceDN w:val="0"/>
              <w:adjustRightInd w:val="0"/>
            </w:pPr>
            <w:r>
              <w:rPr>
                <w:rFonts w:ascii="Swiss721BT-Italic" w:hAnsi="Swiss721BT-Italic" w:cs="Swiss721BT-Italic"/>
                <w:i/>
                <w:iCs/>
                <w:color w:val="52D2A9"/>
                <w:sz w:val="26"/>
                <w:szCs w:val="26"/>
              </w:rPr>
              <w:t>‘To ensure that young people have enough money to provide for their needs whilst in care and after they have left care and ensure that they are supported financially to establish their own homes’.</w:t>
            </w:r>
          </w:p>
          <w:p w14:paraId="4F8B953A" w14:textId="77777777" w:rsidR="002109E3" w:rsidRDefault="002109E3" w:rsidP="000A1311"/>
        </w:tc>
      </w:tr>
      <w:tr w:rsidR="002109E3" w:rsidRPr="002109E3" w14:paraId="06EA1A4A" w14:textId="77777777" w:rsidTr="002109E3">
        <w:tc>
          <w:tcPr>
            <w:tcW w:w="9067" w:type="dxa"/>
            <w:gridSpan w:val="2"/>
          </w:tcPr>
          <w:p w14:paraId="50D2DE6B" w14:textId="77777777" w:rsidR="002109E3" w:rsidRPr="002109E3" w:rsidRDefault="002109E3" w:rsidP="00021983">
            <w:pPr>
              <w:pStyle w:val="ListParagraph"/>
              <w:numPr>
                <w:ilvl w:val="0"/>
                <w:numId w:val="7"/>
              </w:numPr>
              <w:ind w:left="447"/>
              <w:rPr>
                <w:b/>
                <w:bCs/>
                <w:color w:val="52D2A9"/>
              </w:rPr>
            </w:pPr>
            <w:r w:rsidRPr="002109E3">
              <w:rPr>
                <w:b/>
                <w:bCs/>
                <w:color w:val="52D2A9"/>
              </w:rPr>
              <w:t>The financial procedure is current, relevant and appropriate to meet the needs of young people due to leave care and for those who have left care</w:t>
            </w:r>
          </w:p>
          <w:p w14:paraId="44AB9E70" w14:textId="77777777" w:rsidR="002109E3" w:rsidRPr="002109E3" w:rsidRDefault="002109E3" w:rsidP="000A1311">
            <w:pPr>
              <w:rPr>
                <w:b/>
                <w:bCs/>
                <w:color w:val="52D2A9"/>
              </w:rPr>
            </w:pPr>
          </w:p>
        </w:tc>
      </w:tr>
    </w:tbl>
    <w:p w14:paraId="03C7A042" w14:textId="77777777" w:rsidR="002109E3" w:rsidRDefault="002109E3" w:rsidP="002109E3"/>
    <w:p w14:paraId="19BA7135" w14:textId="77777777" w:rsidR="00B97A9C" w:rsidRPr="00021983" w:rsidRDefault="00B97A9C" w:rsidP="002109E3">
      <w:pPr>
        <w:rPr>
          <w:b/>
          <w:bCs/>
        </w:rPr>
      </w:pPr>
      <w:r w:rsidRPr="00021983">
        <w:rPr>
          <w:b/>
          <w:bCs/>
        </w:rPr>
        <w:t>REVIEWING THE FINANCIAL OFFER TO CARE LEAVERS</w:t>
      </w:r>
    </w:p>
    <w:p w14:paraId="2CE980EA" w14:textId="61E03A34" w:rsidR="00B97A9C" w:rsidRDefault="00B97A9C" w:rsidP="00B97A9C">
      <w:pPr>
        <w:pStyle w:val="ListParagraph"/>
        <w:numPr>
          <w:ilvl w:val="0"/>
          <w:numId w:val="24"/>
        </w:numPr>
      </w:pPr>
      <w:r>
        <w:t xml:space="preserve">Review </w:t>
      </w:r>
      <w:r w:rsidR="004C194D">
        <w:t>amount o</w:t>
      </w:r>
      <w:r>
        <w:t xml:space="preserve">f setting home allowance </w:t>
      </w:r>
    </w:p>
    <w:p w14:paraId="1C74A7CF" w14:textId="77777777" w:rsidR="004C194D" w:rsidRDefault="00B97A9C" w:rsidP="00B97A9C">
      <w:pPr>
        <w:pStyle w:val="ListParagraph"/>
        <w:numPr>
          <w:ilvl w:val="0"/>
          <w:numId w:val="24"/>
        </w:numPr>
      </w:pPr>
      <w:r>
        <w:t xml:space="preserve">Review </w:t>
      </w:r>
      <w:r w:rsidR="004C194D">
        <w:t>amount of Leaving Care Allowance</w:t>
      </w:r>
    </w:p>
    <w:p w14:paraId="1F3B6A3C" w14:textId="06EFE856" w:rsidR="00B97A9C" w:rsidRDefault="004C194D" w:rsidP="001F6713">
      <w:pPr>
        <w:pStyle w:val="ListParagraph"/>
        <w:numPr>
          <w:ilvl w:val="0"/>
          <w:numId w:val="24"/>
        </w:numPr>
      </w:pPr>
      <w:r>
        <w:t>Review level of financial crisis and debt support</w:t>
      </w:r>
    </w:p>
    <w:p w14:paraId="7321A5C1" w14:textId="51B0BB54" w:rsidR="001F6713" w:rsidRPr="00021983" w:rsidRDefault="00021983" w:rsidP="001F6713">
      <w:pPr>
        <w:rPr>
          <w:b/>
          <w:bCs/>
        </w:rPr>
      </w:pPr>
      <w:r w:rsidRPr="00021983">
        <w:rPr>
          <w:b/>
          <w:bCs/>
        </w:rPr>
        <w:t>ADDRESS DIGITAL POVERTY</w:t>
      </w:r>
    </w:p>
    <w:p w14:paraId="53D52BFA" w14:textId="77777777" w:rsidR="00021983" w:rsidRDefault="00021983" w:rsidP="00021983">
      <w:pPr>
        <w:pStyle w:val="ListParagraph"/>
        <w:numPr>
          <w:ilvl w:val="0"/>
          <w:numId w:val="25"/>
        </w:numPr>
      </w:pPr>
      <w:r>
        <w:t>Reduce the digital divide</w:t>
      </w:r>
    </w:p>
    <w:p w14:paraId="0F7E13E3" w14:textId="3CB0F127" w:rsidR="00094E47" w:rsidRDefault="00021983" w:rsidP="008E43BD">
      <w:pPr>
        <w:pStyle w:val="ListParagraph"/>
      </w:pPr>
      <w:r>
        <w:t xml:space="preserve"> </w:t>
      </w:r>
    </w:p>
    <w:tbl>
      <w:tblPr>
        <w:tblStyle w:val="TableGrid"/>
        <w:tblW w:w="0" w:type="auto"/>
        <w:tblLook w:val="04A0" w:firstRow="1" w:lastRow="0" w:firstColumn="1" w:lastColumn="0" w:noHBand="0" w:noVBand="1"/>
      </w:tblPr>
      <w:tblGrid>
        <w:gridCol w:w="5355"/>
        <w:gridCol w:w="3661"/>
      </w:tblGrid>
      <w:tr w:rsidR="00094E47" w14:paraId="4BE69EB7" w14:textId="77777777" w:rsidTr="000A1311">
        <w:tc>
          <w:tcPr>
            <w:tcW w:w="5382" w:type="dxa"/>
            <w:vMerge w:val="restart"/>
          </w:tcPr>
          <w:p w14:paraId="72CD98B8" w14:textId="77777777" w:rsidR="00094E47" w:rsidRDefault="00094E47" w:rsidP="000A1311">
            <w:pPr>
              <w:autoSpaceDE w:val="0"/>
              <w:autoSpaceDN w:val="0"/>
              <w:adjustRightInd w:val="0"/>
              <w:rPr>
                <w:rFonts w:ascii="Filmgoer-Regular" w:hAnsi="Filmgoer-Regular" w:cs="Filmgoer-Regular"/>
                <w:color w:val="52D2A9"/>
                <w:sz w:val="72"/>
                <w:szCs w:val="72"/>
              </w:rPr>
            </w:pPr>
            <w:r>
              <w:rPr>
                <w:rFonts w:ascii="Filmgoer-Regular" w:hAnsi="Filmgoer-Regular" w:cs="Filmgoer-Regular"/>
                <w:color w:val="52D2A9"/>
                <w:sz w:val="72"/>
                <w:szCs w:val="72"/>
              </w:rPr>
              <w:t>Objective 8</w:t>
            </w:r>
          </w:p>
          <w:p w14:paraId="5468BFF5" w14:textId="77777777" w:rsidR="00094E47" w:rsidRDefault="00094E47" w:rsidP="000A1311"/>
        </w:tc>
        <w:tc>
          <w:tcPr>
            <w:tcW w:w="3685" w:type="dxa"/>
          </w:tcPr>
          <w:p w14:paraId="5198F03F" w14:textId="77777777" w:rsidR="00094E47" w:rsidRDefault="00094E47" w:rsidP="000A1311">
            <w:pPr>
              <w:autoSpaceDE w:val="0"/>
              <w:autoSpaceDN w:val="0"/>
              <w:adjustRightInd w:val="0"/>
              <w:rPr>
                <w:rFonts w:ascii="Swiss721BT-Bold" w:hAnsi="Swiss721BT-Bold" w:cs="Swiss721BT-Bold"/>
                <w:b/>
                <w:bCs/>
                <w:color w:val="52D2A9"/>
                <w:sz w:val="26"/>
                <w:szCs w:val="26"/>
              </w:rPr>
            </w:pPr>
            <w:r>
              <w:rPr>
                <w:rFonts w:ascii="Swiss721BT-Bold" w:hAnsi="Swiss721BT-Bold" w:cs="Swiss721BT-Bold"/>
                <w:b/>
                <w:bCs/>
                <w:color w:val="52D2A9"/>
                <w:sz w:val="26"/>
                <w:szCs w:val="26"/>
              </w:rPr>
              <w:t>Children are protected from harm and risk of exploitation</w:t>
            </w:r>
          </w:p>
          <w:p w14:paraId="73457D58" w14:textId="77777777" w:rsidR="00094E47" w:rsidRDefault="00094E47" w:rsidP="000A1311"/>
        </w:tc>
      </w:tr>
      <w:tr w:rsidR="00094E47" w14:paraId="2882A121" w14:textId="77777777" w:rsidTr="000A1311">
        <w:tc>
          <w:tcPr>
            <w:tcW w:w="5382" w:type="dxa"/>
            <w:vMerge/>
          </w:tcPr>
          <w:p w14:paraId="6963B529" w14:textId="77777777" w:rsidR="00094E47" w:rsidRDefault="00094E47" w:rsidP="000A1311"/>
        </w:tc>
        <w:tc>
          <w:tcPr>
            <w:tcW w:w="3685" w:type="dxa"/>
          </w:tcPr>
          <w:p w14:paraId="3129C834" w14:textId="77777777" w:rsidR="00094E47" w:rsidRDefault="00094E47" w:rsidP="000A1311">
            <w:pPr>
              <w:autoSpaceDE w:val="0"/>
              <w:autoSpaceDN w:val="0"/>
              <w:adjustRightInd w:val="0"/>
            </w:pPr>
            <w:r>
              <w:rPr>
                <w:rFonts w:ascii="Swiss721BT-Italic" w:hAnsi="Swiss721BT-Italic" w:cs="Swiss721BT-Italic"/>
                <w:i/>
                <w:iCs/>
                <w:color w:val="52D2A9"/>
                <w:sz w:val="26"/>
                <w:szCs w:val="26"/>
              </w:rPr>
              <w:t>‘To ensure that children are protected from harm and exploitation and ensure that they are provided with support to overcome any pull factors that would lead them to being exploited’.</w:t>
            </w:r>
          </w:p>
          <w:p w14:paraId="2AF2325B" w14:textId="77777777" w:rsidR="00094E47" w:rsidRDefault="00094E47" w:rsidP="000A1311"/>
        </w:tc>
      </w:tr>
      <w:tr w:rsidR="00094E47" w:rsidRPr="00094E47" w14:paraId="25845323" w14:textId="77777777" w:rsidTr="000A1311">
        <w:tc>
          <w:tcPr>
            <w:tcW w:w="9067" w:type="dxa"/>
            <w:gridSpan w:val="2"/>
          </w:tcPr>
          <w:p w14:paraId="366C412F" w14:textId="325ACC0F" w:rsidR="00094E47" w:rsidRDefault="00094E47" w:rsidP="00094E47">
            <w:pPr>
              <w:pStyle w:val="ListParagraph"/>
              <w:numPr>
                <w:ilvl w:val="0"/>
                <w:numId w:val="7"/>
              </w:numPr>
              <w:ind w:left="447"/>
              <w:rPr>
                <w:b/>
                <w:bCs/>
                <w:color w:val="52D2A9"/>
              </w:rPr>
            </w:pPr>
            <w:r w:rsidRPr="00094E47">
              <w:rPr>
                <w:b/>
                <w:bCs/>
                <w:color w:val="52D2A9"/>
              </w:rPr>
              <w:t xml:space="preserve">Coordinated response with partner agencies to children and young people most at risk of exploitation, MFH and trafficking </w:t>
            </w:r>
          </w:p>
          <w:p w14:paraId="6053386F" w14:textId="77777777" w:rsidR="00094E47" w:rsidRPr="00094E47" w:rsidRDefault="00094E47" w:rsidP="00094E47">
            <w:pPr>
              <w:pStyle w:val="ListParagraph"/>
              <w:ind w:left="447"/>
              <w:rPr>
                <w:b/>
                <w:bCs/>
                <w:color w:val="52D2A9"/>
              </w:rPr>
            </w:pPr>
          </w:p>
          <w:p w14:paraId="720D8BE0" w14:textId="77777777" w:rsidR="00094E47" w:rsidRPr="00094E47" w:rsidRDefault="00094E47" w:rsidP="00094E47">
            <w:pPr>
              <w:pStyle w:val="ListParagraph"/>
              <w:numPr>
                <w:ilvl w:val="0"/>
                <w:numId w:val="7"/>
              </w:numPr>
              <w:ind w:left="447"/>
              <w:rPr>
                <w:b/>
                <w:bCs/>
                <w:color w:val="52D2A9"/>
              </w:rPr>
            </w:pPr>
            <w:r w:rsidRPr="00094E47">
              <w:rPr>
                <w:b/>
                <w:bCs/>
                <w:color w:val="52D2A9"/>
              </w:rPr>
              <w:t>Joint actions to divert from offending and entering/escalating through the youth justice system</w:t>
            </w:r>
          </w:p>
          <w:p w14:paraId="0CBC0E7C" w14:textId="77777777" w:rsidR="00094E47" w:rsidRPr="00094E47" w:rsidRDefault="00094E47" w:rsidP="000A1311">
            <w:pPr>
              <w:rPr>
                <w:b/>
                <w:bCs/>
                <w:color w:val="52D2A9"/>
              </w:rPr>
            </w:pPr>
          </w:p>
        </w:tc>
      </w:tr>
    </w:tbl>
    <w:p w14:paraId="60762002" w14:textId="5CB71905" w:rsidR="00094E47" w:rsidRDefault="00094E47" w:rsidP="00094E47"/>
    <w:p w14:paraId="413B0BC8" w14:textId="516807F4" w:rsidR="00021983" w:rsidRPr="005C6D95" w:rsidRDefault="005C6D95" w:rsidP="00094E47">
      <w:pPr>
        <w:rPr>
          <w:b/>
          <w:bCs/>
        </w:rPr>
      </w:pPr>
      <w:r w:rsidRPr="005C6D95">
        <w:rPr>
          <w:b/>
          <w:bCs/>
        </w:rPr>
        <w:t>MONITORING SAFEGUARDING OUTCOMES</w:t>
      </w:r>
    </w:p>
    <w:p w14:paraId="568BBB5F" w14:textId="43262844" w:rsidR="00021983" w:rsidRDefault="005C6D95" w:rsidP="005C6D95">
      <w:pPr>
        <w:pStyle w:val="ListParagraph"/>
        <w:numPr>
          <w:ilvl w:val="0"/>
          <w:numId w:val="25"/>
        </w:numPr>
      </w:pPr>
      <w:r>
        <w:t xml:space="preserve">The board to be provided with periodic </w:t>
      </w:r>
      <w:r w:rsidR="00C74BE2">
        <w:t xml:space="preserve">themed </w:t>
      </w:r>
      <w:r w:rsidR="00245EDE">
        <w:t>safeguarding</w:t>
      </w:r>
      <w:r w:rsidR="0041634E">
        <w:t>/exploitation</w:t>
      </w:r>
      <w:r w:rsidR="00245EDE">
        <w:t xml:space="preserve"> </w:t>
      </w:r>
      <w:r w:rsidR="00C74BE2">
        <w:t>updates from police and CSC</w:t>
      </w:r>
    </w:p>
    <w:p w14:paraId="2B8726E9" w14:textId="1714F081" w:rsidR="00C74BE2" w:rsidRDefault="00C74BE2" w:rsidP="00C74BE2">
      <w:pPr>
        <w:pStyle w:val="ListParagraph"/>
        <w:numPr>
          <w:ilvl w:val="1"/>
          <w:numId w:val="25"/>
        </w:numPr>
      </w:pPr>
      <w:r>
        <w:t>Data</w:t>
      </w:r>
    </w:p>
    <w:p w14:paraId="7B73043F" w14:textId="01252E5F" w:rsidR="00C74BE2" w:rsidRDefault="00C74BE2" w:rsidP="00C74BE2">
      <w:pPr>
        <w:pStyle w:val="ListParagraph"/>
        <w:numPr>
          <w:ilvl w:val="1"/>
          <w:numId w:val="25"/>
        </w:numPr>
      </w:pPr>
      <w:r>
        <w:t>Themes</w:t>
      </w:r>
    </w:p>
    <w:p w14:paraId="6DBA0EA4" w14:textId="4C0B8046" w:rsidR="00C74BE2" w:rsidRDefault="00C74BE2" w:rsidP="00C74BE2">
      <w:pPr>
        <w:pStyle w:val="ListParagraph"/>
        <w:numPr>
          <w:ilvl w:val="1"/>
          <w:numId w:val="25"/>
        </w:numPr>
      </w:pPr>
      <w:r>
        <w:lastRenderedPageBreak/>
        <w:t xml:space="preserve">Current issues and challenges </w:t>
      </w:r>
    </w:p>
    <w:p w14:paraId="7044D6E4" w14:textId="1632B203" w:rsidR="006C30DA" w:rsidRDefault="006C30DA" w:rsidP="00C74BE2">
      <w:pPr>
        <w:pStyle w:val="ListParagraph"/>
        <w:numPr>
          <w:ilvl w:val="1"/>
          <w:numId w:val="25"/>
        </w:numPr>
      </w:pPr>
      <w:r>
        <w:t xml:space="preserve">Young people's narratives/testimonies </w:t>
      </w:r>
    </w:p>
    <w:p w14:paraId="6B479503" w14:textId="71A21516" w:rsidR="00C74BE2" w:rsidRDefault="00FC7477" w:rsidP="005C6D95">
      <w:pPr>
        <w:pStyle w:val="ListParagraph"/>
        <w:numPr>
          <w:ilvl w:val="0"/>
          <w:numId w:val="25"/>
        </w:numPr>
      </w:pPr>
      <w:r>
        <w:t>Ensure consistent pathways and thresholds are applied across the different areas, functions and partners in Lancashire</w:t>
      </w:r>
    </w:p>
    <w:p w14:paraId="68A6A1ED" w14:textId="75B3DE4C" w:rsidR="00C31D94" w:rsidRDefault="00C31D94" w:rsidP="00C31D94">
      <w:pPr>
        <w:pStyle w:val="ListParagraph"/>
        <w:numPr>
          <w:ilvl w:val="0"/>
          <w:numId w:val="25"/>
        </w:numPr>
      </w:pPr>
      <w:r>
        <w:t>The board to be provided with periodic themed criminal justice updates from police and CSC</w:t>
      </w:r>
    </w:p>
    <w:p w14:paraId="10640312" w14:textId="1309DECE" w:rsidR="00C31D94" w:rsidRDefault="00C31D94" w:rsidP="00C31D94">
      <w:pPr>
        <w:pStyle w:val="ListParagraph"/>
        <w:numPr>
          <w:ilvl w:val="1"/>
          <w:numId w:val="25"/>
        </w:numPr>
      </w:pPr>
      <w:r>
        <w:t>Effectiveness to divert looked after children from the criminal justice system</w:t>
      </w:r>
    </w:p>
    <w:p w14:paraId="7CB53A2E" w14:textId="4E9335EC" w:rsidR="00C31D94" w:rsidRDefault="001B1FEA" w:rsidP="00C31D94">
      <w:pPr>
        <w:pStyle w:val="ListParagraph"/>
        <w:numPr>
          <w:ilvl w:val="1"/>
          <w:numId w:val="25"/>
        </w:numPr>
      </w:pPr>
      <w:r>
        <w:t>First time entrants</w:t>
      </w:r>
    </w:p>
    <w:p w14:paraId="00887FC5" w14:textId="09771F40" w:rsidR="001B1FEA" w:rsidRDefault="001B1FEA" w:rsidP="00C31D94">
      <w:pPr>
        <w:pStyle w:val="ListParagraph"/>
        <w:numPr>
          <w:ilvl w:val="1"/>
          <w:numId w:val="25"/>
        </w:numPr>
      </w:pPr>
      <w:r>
        <w:t>Re-offending rate</w:t>
      </w:r>
    </w:p>
    <w:p w14:paraId="39F682B6" w14:textId="4F1DC8CE" w:rsidR="001B1FEA" w:rsidRDefault="001B1FEA" w:rsidP="00C31D94">
      <w:pPr>
        <w:pStyle w:val="ListParagraph"/>
        <w:numPr>
          <w:ilvl w:val="1"/>
          <w:numId w:val="25"/>
        </w:numPr>
      </w:pPr>
      <w:r>
        <w:t>Use of custody</w:t>
      </w:r>
    </w:p>
    <w:p w14:paraId="44AD63D2" w14:textId="2D634754" w:rsidR="001B1FEA" w:rsidRDefault="001B1FEA" w:rsidP="00C31D94">
      <w:pPr>
        <w:pStyle w:val="ListParagraph"/>
        <w:numPr>
          <w:ilvl w:val="1"/>
          <w:numId w:val="25"/>
        </w:numPr>
      </w:pPr>
      <w:r>
        <w:t>Effectiveness of Lancashire Protocol to reduce unnecessary criminalisation of looked after children</w:t>
      </w:r>
    </w:p>
    <w:p w14:paraId="0B80E71B" w14:textId="5C005D91" w:rsidR="00411F3C" w:rsidRDefault="0041634E" w:rsidP="005C6D95">
      <w:pPr>
        <w:pStyle w:val="ListParagraph"/>
        <w:numPr>
          <w:ilvl w:val="0"/>
          <w:numId w:val="25"/>
        </w:numPr>
      </w:pPr>
      <w:r>
        <w:t>The board be provided with a r</w:t>
      </w:r>
      <w:r w:rsidR="00A76A5D">
        <w:t xml:space="preserve">eport on level of training and skills within the </w:t>
      </w:r>
      <w:r w:rsidR="00411F3C">
        <w:t>workforce of CSC</w:t>
      </w:r>
      <w:r w:rsidR="006F7A54">
        <w:t xml:space="preserve">, </w:t>
      </w:r>
      <w:r w:rsidR="00411F3C">
        <w:t xml:space="preserve">fostering and residential </w:t>
      </w:r>
      <w:r w:rsidR="006F7A54">
        <w:t xml:space="preserve">(internal/external) </w:t>
      </w:r>
      <w:r w:rsidR="00411F3C">
        <w:t>to recognise, respond and support children and young people at risk of exploitation</w:t>
      </w:r>
      <w:r w:rsidR="00FA7A63">
        <w:t>; ability and skills to implement preventative strategies.</w:t>
      </w:r>
    </w:p>
    <w:p w14:paraId="720FF13D" w14:textId="72FE1B89" w:rsidR="00C31D94" w:rsidRDefault="0041634E" w:rsidP="005C6D95">
      <w:pPr>
        <w:pStyle w:val="ListParagraph"/>
        <w:numPr>
          <w:ilvl w:val="0"/>
          <w:numId w:val="25"/>
        </w:numPr>
      </w:pPr>
      <w:r>
        <w:t xml:space="preserve">The board to be provided with a report </w:t>
      </w:r>
      <w:r w:rsidR="00F906B2">
        <w:t xml:space="preserve">on </w:t>
      </w:r>
      <w:r>
        <w:t xml:space="preserve">the education and awareness raising </w:t>
      </w:r>
      <w:r w:rsidR="00F906B2">
        <w:t>with young people to reduce the risk of exploitation.</w:t>
      </w:r>
    </w:p>
    <w:p w14:paraId="1973478A" w14:textId="0E062C5D" w:rsidR="00976409" w:rsidRDefault="00976409" w:rsidP="005C6D95">
      <w:pPr>
        <w:pStyle w:val="ListParagraph"/>
        <w:numPr>
          <w:ilvl w:val="0"/>
          <w:numId w:val="25"/>
        </w:numPr>
      </w:pPr>
      <w:r>
        <w:t>The board to be provided with a report on the profile of children going missing</w:t>
      </w:r>
      <w:r w:rsidR="00A15A73">
        <w:t xml:space="preserve"> and a profile of the placements they go missing from to</w:t>
      </w:r>
      <w:r w:rsidR="00A21D8E">
        <w:t xml:space="preserve"> identify push/pull factors and</w:t>
      </w:r>
      <w:r w:rsidR="00A15A73">
        <w:t xml:space="preserve"> inform sufficiency planning</w:t>
      </w:r>
    </w:p>
    <w:p w14:paraId="06FCC5A8" w14:textId="6CE33E69" w:rsidR="00FC7477" w:rsidRDefault="00A15A73" w:rsidP="00FC7477">
      <w:pPr>
        <w:pStyle w:val="ListParagraph"/>
        <w:numPr>
          <w:ilvl w:val="0"/>
          <w:numId w:val="25"/>
        </w:numPr>
      </w:pPr>
      <w:r>
        <w:t xml:space="preserve">Scrutiny of </w:t>
      </w:r>
      <w:r w:rsidR="00A21D8E">
        <w:t xml:space="preserve">how return home interviews are completed including the young person's choice of who completes this </w:t>
      </w:r>
    </w:p>
    <w:p w14:paraId="305D5B87" w14:textId="3CD52B64" w:rsidR="00094E47" w:rsidRDefault="00B42E79" w:rsidP="00094E47">
      <w:pPr>
        <w:rPr>
          <w:b/>
          <w:bCs/>
        </w:rPr>
      </w:pPr>
      <w:r w:rsidRPr="00B42E79">
        <w:rPr>
          <w:b/>
          <w:bCs/>
        </w:rPr>
        <w:t>EMBED TRAUMA INFORMED PRACTICE ACROSS ALL SERVICES</w:t>
      </w:r>
    </w:p>
    <w:p w14:paraId="58EE717F" w14:textId="77777777" w:rsidR="008E43BD" w:rsidRPr="008E43BD" w:rsidRDefault="008E43BD" w:rsidP="00094E47">
      <w:pPr>
        <w:rPr>
          <w:b/>
          <w:bCs/>
        </w:rPr>
      </w:pPr>
    </w:p>
    <w:tbl>
      <w:tblPr>
        <w:tblStyle w:val="TableGrid"/>
        <w:tblW w:w="9252" w:type="dxa"/>
        <w:tblLook w:val="04A0" w:firstRow="1" w:lastRow="0" w:firstColumn="1" w:lastColumn="0" w:noHBand="0" w:noVBand="1"/>
      </w:tblPr>
      <w:tblGrid>
        <w:gridCol w:w="4598"/>
        <w:gridCol w:w="4654"/>
      </w:tblGrid>
      <w:tr w:rsidR="00094E47" w14:paraId="727C0A13" w14:textId="77777777" w:rsidTr="000A1311">
        <w:tc>
          <w:tcPr>
            <w:tcW w:w="4598" w:type="dxa"/>
            <w:vMerge w:val="restart"/>
          </w:tcPr>
          <w:p w14:paraId="088D20D0" w14:textId="77777777" w:rsidR="00094E47" w:rsidRDefault="00094E47" w:rsidP="000A1311">
            <w:pPr>
              <w:autoSpaceDE w:val="0"/>
              <w:autoSpaceDN w:val="0"/>
              <w:adjustRightInd w:val="0"/>
              <w:rPr>
                <w:rFonts w:ascii="Filmgoer-Regular" w:hAnsi="Filmgoer-Regular" w:cs="Filmgoer-Regular"/>
                <w:color w:val="52D2A9"/>
                <w:sz w:val="72"/>
                <w:szCs w:val="72"/>
              </w:rPr>
            </w:pPr>
            <w:r>
              <w:rPr>
                <w:rFonts w:ascii="Filmgoer-Regular" w:hAnsi="Filmgoer-Regular" w:cs="Filmgoer-Regular"/>
                <w:color w:val="52D2A9"/>
                <w:sz w:val="72"/>
                <w:szCs w:val="72"/>
              </w:rPr>
              <w:t>Objective 9</w:t>
            </w:r>
          </w:p>
          <w:p w14:paraId="29308C14" w14:textId="77777777" w:rsidR="00094E47" w:rsidRDefault="00094E47" w:rsidP="000A1311"/>
        </w:tc>
        <w:tc>
          <w:tcPr>
            <w:tcW w:w="4654" w:type="dxa"/>
          </w:tcPr>
          <w:p w14:paraId="467A9DCD" w14:textId="77777777" w:rsidR="00094E47" w:rsidRDefault="00094E47" w:rsidP="000A1311">
            <w:pPr>
              <w:autoSpaceDE w:val="0"/>
              <w:autoSpaceDN w:val="0"/>
              <w:adjustRightInd w:val="0"/>
              <w:rPr>
                <w:rFonts w:ascii="Swiss721BT-Bold" w:hAnsi="Swiss721BT-Bold" w:cs="Swiss721BT-Bold"/>
                <w:b/>
                <w:bCs/>
                <w:color w:val="52D2A9"/>
                <w:sz w:val="26"/>
                <w:szCs w:val="26"/>
              </w:rPr>
            </w:pPr>
            <w:r>
              <w:rPr>
                <w:rFonts w:ascii="Swiss721BT-Bold" w:hAnsi="Swiss721BT-Bold" w:cs="Swiss721BT-Bold"/>
                <w:b/>
                <w:bCs/>
                <w:color w:val="52D2A9"/>
                <w:sz w:val="26"/>
                <w:szCs w:val="26"/>
              </w:rPr>
              <w:t>Children and young people in our care and care leaver achievements are celebrated</w:t>
            </w:r>
          </w:p>
          <w:p w14:paraId="6904A6B3" w14:textId="77777777" w:rsidR="00094E47" w:rsidRDefault="00094E47" w:rsidP="000A1311"/>
        </w:tc>
      </w:tr>
      <w:tr w:rsidR="00094E47" w14:paraId="440CA1BD" w14:textId="77777777" w:rsidTr="000A1311">
        <w:tc>
          <w:tcPr>
            <w:tcW w:w="4598" w:type="dxa"/>
            <w:vMerge/>
          </w:tcPr>
          <w:p w14:paraId="1B9B6E12" w14:textId="77777777" w:rsidR="00094E47" w:rsidRDefault="00094E47" w:rsidP="000A1311"/>
        </w:tc>
        <w:tc>
          <w:tcPr>
            <w:tcW w:w="4654" w:type="dxa"/>
          </w:tcPr>
          <w:p w14:paraId="34DA630F" w14:textId="77777777" w:rsidR="00094E47" w:rsidRDefault="00094E47" w:rsidP="000A1311">
            <w:pPr>
              <w:autoSpaceDE w:val="0"/>
              <w:autoSpaceDN w:val="0"/>
              <w:adjustRightInd w:val="0"/>
            </w:pPr>
            <w:r>
              <w:rPr>
                <w:rFonts w:ascii="Swiss721BT-Italic" w:hAnsi="Swiss721BT-Italic" w:cs="Swiss721BT-Italic"/>
                <w:i/>
                <w:iCs/>
                <w:color w:val="52D2A9"/>
                <w:sz w:val="26"/>
                <w:szCs w:val="26"/>
              </w:rPr>
              <w:t>‘To ensure that the children we look after and have looked after, are recognised for their achievements and successes’.</w:t>
            </w:r>
          </w:p>
          <w:p w14:paraId="39170AF8" w14:textId="77777777" w:rsidR="00094E47" w:rsidRDefault="00094E47" w:rsidP="000A1311"/>
        </w:tc>
      </w:tr>
      <w:tr w:rsidR="00B42E79" w:rsidRPr="00B42E79" w14:paraId="4B5AA5EA" w14:textId="77777777" w:rsidTr="000A1311">
        <w:tc>
          <w:tcPr>
            <w:tcW w:w="9252" w:type="dxa"/>
            <w:gridSpan w:val="2"/>
          </w:tcPr>
          <w:p w14:paraId="24F7B507" w14:textId="77777777" w:rsidR="00094E47" w:rsidRDefault="00094E47" w:rsidP="00B42E79">
            <w:pPr>
              <w:pStyle w:val="ListParagraph"/>
              <w:numPr>
                <w:ilvl w:val="0"/>
                <w:numId w:val="27"/>
              </w:numPr>
              <w:ind w:left="447"/>
              <w:rPr>
                <w:b/>
                <w:bCs/>
                <w:color w:val="52D2A9"/>
              </w:rPr>
            </w:pPr>
            <w:r w:rsidRPr="00B42E79">
              <w:rPr>
                <w:b/>
                <w:bCs/>
                <w:color w:val="52D2A9"/>
              </w:rPr>
              <w:t xml:space="preserve">PROUD awards </w:t>
            </w:r>
          </w:p>
          <w:p w14:paraId="732E1EA5" w14:textId="2D3352AE" w:rsidR="00B42E79" w:rsidRPr="00B42E79" w:rsidRDefault="00B42E79" w:rsidP="00B42E79">
            <w:pPr>
              <w:pStyle w:val="ListParagraph"/>
              <w:ind w:left="447"/>
              <w:rPr>
                <w:b/>
                <w:bCs/>
                <w:color w:val="52D2A9"/>
              </w:rPr>
            </w:pPr>
          </w:p>
        </w:tc>
      </w:tr>
    </w:tbl>
    <w:p w14:paraId="6F9BD327" w14:textId="07E447C1" w:rsidR="00094E47" w:rsidRDefault="00094E47" w:rsidP="00094E47"/>
    <w:p w14:paraId="5BA17694" w14:textId="7931F4AA" w:rsidR="002D7594" w:rsidRPr="006B5076" w:rsidRDefault="00B12317" w:rsidP="00094E47">
      <w:pPr>
        <w:rPr>
          <w:b/>
          <w:bCs/>
        </w:rPr>
      </w:pPr>
      <w:r w:rsidRPr="006B5076">
        <w:rPr>
          <w:b/>
          <w:bCs/>
        </w:rPr>
        <w:t>CONSULTATION</w:t>
      </w:r>
      <w:r w:rsidR="006B5076" w:rsidRPr="006B5076">
        <w:rPr>
          <w:b/>
          <w:bCs/>
        </w:rPr>
        <w:t xml:space="preserve"> with children and young people</w:t>
      </w:r>
    </w:p>
    <w:p w14:paraId="1694CAD6" w14:textId="2EADA1E1" w:rsidR="006B5076" w:rsidRDefault="006B5076" w:rsidP="006B5076">
      <w:pPr>
        <w:pStyle w:val="ListParagraph"/>
        <w:numPr>
          <w:ilvl w:val="0"/>
          <w:numId w:val="27"/>
        </w:numPr>
      </w:pPr>
      <w:r>
        <w:t>Consult with children and young people to identify how they would like to be recognised for their achievements</w:t>
      </w:r>
    </w:p>
    <w:p w14:paraId="1DB8FF5E" w14:textId="06E8D25E" w:rsidR="006B5076" w:rsidRPr="003E0271" w:rsidRDefault="006B5076" w:rsidP="006B5076">
      <w:pPr>
        <w:rPr>
          <w:b/>
          <w:bCs/>
        </w:rPr>
      </w:pPr>
      <w:r w:rsidRPr="003E0271">
        <w:rPr>
          <w:b/>
          <w:bCs/>
        </w:rPr>
        <w:t>RECOGNITION OF EDUCATIONAL ACHIEVEMENTS</w:t>
      </w:r>
    </w:p>
    <w:p w14:paraId="5CFD6246" w14:textId="4269BA63" w:rsidR="006B5076" w:rsidRDefault="003E0271" w:rsidP="003E0271">
      <w:pPr>
        <w:pStyle w:val="ListParagraph"/>
        <w:numPr>
          <w:ilvl w:val="0"/>
          <w:numId w:val="27"/>
        </w:numPr>
      </w:pPr>
      <w:r>
        <w:t>Virtual School to explore extending current awards beyond Key Stage 4</w:t>
      </w:r>
    </w:p>
    <w:p w14:paraId="6D202F72" w14:textId="29E1432C" w:rsidR="00C56A7E" w:rsidRDefault="00C56A7E" w:rsidP="003E0271">
      <w:pPr>
        <w:pStyle w:val="ListParagraph"/>
        <w:numPr>
          <w:ilvl w:val="0"/>
          <w:numId w:val="27"/>
        </w:numPr>
      </w:pPr>
      <w:r>
        <w:t xml:space="preserve">Consider the implementation of a corporate recognition of key educational stages: GCSEs, A-Levels, </w:t>
      </w:r>
      <w:r w:rsidR="000D5A20">
        <w:t xml:space="preserve">graduation from college or university </w:t>
      </w:r>
    </w:p>
    <w:p w14:paraId="6DA35ABD" w14:textId="2EDD052A" w:rsidR="006B5076" w:rsidRDefault="006B5076" w:rsidP="006B5076"/>
    <w:p w14:paraId="701BE383" w14:textId="3A2C041C" w:rsidR="006B5076" w:rsidRPr="003E0271" w:rsidRDefault="006B5076" w:rsidP="006B5076">
      <w:pPr>
        <w:rPr>
          <w:b/>
          <w:bCs/>
        </w:rPr>
      </w:pPr>
      <w:r w:rsidRPr="003E0271">
        <w:rPr>
          <w:b/>
          <w:bCs/>
        </w:rPr>
        <w:lastRenderedPageBreak/>
        <w:t>RECOGNISTION OF PERSONAL ACHIEVEMENTS AND CONTRIBUTIONS</w:t>
      </w:r>
    </w:p>
    <w:p w14:paraId="4BE5B004" w14:textId="17EE28A8" w:rsidR="002D7594" w:rsidRDefault="003E0271" w:rsidP="003E0271">
      <w:pPr>
        <w:pStyle w:val="ListParagraph"/>
        <w:numPr>
          <w:ilvl w:val="0"/>
          <w:numId w:val="27"/>
        </w:numPr>
      </w:pPr>
      <w:r>
        <w:t xml:space="preserve">Explore </w:t>
      </w:r>
      <w:r w:rsidR="00325E19">
        <w:t xml:space="preserve">the option of a Corporate Parenting Board Award that recognises achievements that are significant to the individual young person </w:t>
      </w:r>
      <w:r w:rsidR="008F6B92">
        <w:t>(e.g. stop going missing etc.)</w:t>
      </w:r>
      <w:r w:rsidR="007C3942">
        <w:t xml:space="preserve">, contributions to the community and individual learning and development from young people's participation in events </w:t>
      </w:r>
      <w:r w:rsidR="00706A3C">
        <w:t>in addition to the annual Proud Awards</w:t>
      </w:r>
    </w:p>
    <w:p w14:paraId="669C39B4" w14:textId="125E987E" w:rsidR="002D7594" w:rsidRDefault="002D7594" w:rsidP="00094E47"/>
    <w:p w14:paraId="520CD50A" w14:textId="5155D479" w:rsidR="002D7594" w:rsidRDefault="002D7594" w:rsidP="00094E47"/>
    <w:p w14:paraId="4AC8282A" w14:textId="77777777" w:rsidR="00AF0D77" w:rsidRDefault="008E43BD"/>
    <w:sectPr w:rsidR="00AF0D77" w:rsidSect="00340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lmgoer-Regular">
    <w:altName w:val="Calibri"/>
    <w:panose1 w:val="00000000000000000000"/>
    <w:charset w:val="00"/>
    <w:family w:val="swiss"/>
    <w:notTrueType/>
    <w:pitch w:val="default"/>
    <w:sig w:usb0="00000003" w:usb1="00000000" w:usb2="00000000" w:usb3="00000000" w:csb0="00000001" w:csb1="00000000"/>
  </w:font>
  <w:font w:name="Swiss721BT-Bold">
    <w:altName w:val="Calibri"/>
    <w:panose1 w:val="00000000000000000000"/>
    <w:charset w:val="00"/>
    <w:family w:val="swiss"/>
    <w:notTrueType/>
    <w:pitch w:val="default"/>
    <w:sig w:usb0="00000003" w:usb1="00000000" w:usb2="00000000" w:usb3="00000000" w:csb0="00000001" w:csb1="00000000"/>
  </w:font>
  <w:font w:name="Swiss721B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05F"/>
    <w:multiLevelType w:val="hybridMultilevel"/>
    <w:tmpl w:val="9446D6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05863"/>
    <w:multiLevelType w:val="hybridMultilevel"/>
    <w:tmpl w:val="7C984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32EA5"/>
    <w:multiLevelType w:val="hybridMultilevel"/>
    <w:tmpl w:val="5FE418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26406"/>
    <w:multiLevelType w:val="hybridMultilevel"/>
    <w:tmpl w:val="0230480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01D22"/>
    <w:multiLevelType w:val="hybridMultilevel"/>
    <w:tmpl w:val="A740F6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A6280"/>
    <w:multiLevelType w:val="hybridMultilevel"/>
    <w:tmpl w:val="2B56E3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654C3"/>
    <w:multiLevelType w:val="hybridMultilevel"/>
    <w:tmpl w:val="2B941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3299F"/>
    <w:multiLevelType w:val="hybridMultilevel"/>
    <w:tmpl w:val="2A0676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93848"/>
    <w:multiLevelType w:val="hybridMultilevel"/>
    <w:tmpl w:val="90FC890C"/>
    <w:lvl w:ilvl="0" w:tplc="A6687ADA">
      <w:start w:val="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817CD"/>
    <w:multiLevelType w:val="hybridMultilevel"/>
    <w:tmpl w:val="4184BA98"/>
    <w:lvl w:ilvl="0" w:tplc="ECEA59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91840"/>
    <w:multiLevelType w:val="hybridMultilevel"/>
    <w:tmpl w:val="C35AE500"/>
    <w:lvl w:ilvl="0" w:tplc="86B42D22">
      <w:start w:val="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A1FB6"/>
    <w:multiLevelType w:val="hybridMultilevel"/>
    <w:tmpl w:val="A530B8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8799D"/>
    <w:multiLevelType w:val="hybridMultilevel"/>
    <w:tmpl w:val="C2D888BC"/>
    <w:lvl w:ilvl="0" w:tplc="2438C3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94987"/>
    <w:multiLevelType w:val="hybridMultilevel"/>
    <w:tmpl w:val="2D428B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421DD"/>
    <w:multiLevelType w:val="hybridMultilevel"/>
    <w:tmpl w:val="A12C9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B38F1"/>
    <w:multiLevelType w:val="hybridMultilevel"/>
    <w:tmpl w:val="5A9A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2668E"/>
    <w:multiLevelType w:val="hybridMultilevel"/>
    <w:tmpl w:val="4FFCEE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74887"/>
    <w:multiLevelType w:val="hybridMultilevel"/>
    <w:tmpl w:val="4FB068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9046A"/>
    <w:multiLevelType w:val="hybridMultilevel"/>
    <w:tmpl w:val="063EB12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A37D1"/>
    <w:multiLevelType w:val="hybridMultilevel"/>
    <w:tmpl w:val="02CEF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22086"/>
    <w:multiLevelType w:val="hybridMultilevel"/>
    <w:tmpl w:val="33C4315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775F8"/>
    <w:multiLevelType w:val="hybridMultilevel"/>
    <w:tmpl w:val="141835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6694E"/>
    <w:multiLevelType w:val="hybridMultilevel"/>
    <w:tmpl w:val="0FC8E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50EFC"/>
    <w:multiLevelType w:val="hybridMultilevel"/>
    <w:tmpl w:val="B3569A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4F01EB"/>
    <w:multiLevelType w:val="hybridMultilevel"/>
    <w:tmpl w:val="6E424E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A50B2"/>
    <w:multiLevelType w:val="hybridMultilevel"/>
    <w:tmpl w:val="E41483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731F9"/>
    <w:multiLevelType w:val="hybridMultilevel"/>
    <w:tmpl w:val="AA9824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4"/>
  </w:num>
  <w:num w:numId="4">
    <w:abstractNumId w:val="23"/>
  </w:num>
  <w:num w:numId="5">
    <w:abstractNumId w:val="12"/>
  </w:num>
  <w:num w:numId="6">
    <w:abstractNumId w:val="6"/>
  </w:num>
  <w:num w:numId="7">
    <w:abstractNumId w:val="1"/>
  </w:num>
  <w:num w:numId="8">
    <w:abstractNumId w:val="14"/>
  </w:num>
  <w:num w:numId="9">
    <w:abstractNumId w:val="8"/>
  </w:num>
  <w:num w:numId="10">
    <w:abstractNumId w:val="11"/>
  </w:num>
  <w:num w:numId="11">
    <w:abstractNumId w:val="3"/>
  </w:num>
  <w:num w:numId="12">
    <w:abstractNumId w:val="5"/>
  </w:num>
  <w:num w:numId="13">
    <w:abstractNumId w:val="20"/>
  </w:num>
  <w:num w:numId="14">
    <w:abstractNumId w:val="2"/>
  </w:num>
  <w:num w:numId="15">
    <w:abstractNumId w:val="16"/>
  </w:num>
  <w:num w:numId="16">
    <w:abstractNumId w:val="26"/>
  </w:num>
  <w:num w:numId="17">
    <w:abstractNumId w:val="22"/>
  </w:num>
  <w:num w:numId="18">
    <w:abstractNumId w:val="25"/>
  </w:num>
  <w:num w:numId="19">
    <w:abstractNumId w:val="4"/>
  </w:num>
  <w:num w:numId="20">
    <w:abstractNumId w:val="0"/>
  </w:num>
  <w:num w:numId="21">
    <w:abstractNumId w:val="21"/>
  </w:num>
  <w:num w:numId="22">
    <w:abstractNumId w:val="17"/>
  </w:num>
  <w:num w:numId="23">
    <w:abstractNumId w:val="13"/>
  </w:num>
  <w:num w:numId="24">
    <w:abstractNumId w:val="7"/>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74"/>
    <w:rsid w:val="00021983"/>
    <w:rsid w:val="000377D9"/>
    <w:rsid w:val="00094E47"/>
    <w:rsid w:val="000D5A20"/>
    <w:rsid w:val="00105A96"/>
    <w:rsid w:val="00175B6E"/>
    <w:rsid w:val="00192FB5"/>
    <w:rsid w:val="001B1FEA"/>
    <w:rsid w:val="001E3696"/>
    <w:rsid w:val="001F6713"/>
    <w:rsid w:val="002109E3"/>
    <w:rsid w:val="00236ECB"/>
    <w:rsid w:val="00245EDE"/>
    <w:rsid w:val="002D7594"/>
    <w:rsid w:val="00325E19"/>
    <w:rsid w:val="00340474"/>
    <w:rsid w:val="003604C4"/>
    <w:rsid w:val="00367512"/>
    <w:rsid w:val="003E0271"/>
    <w:rsid w:val="00411F3C"/>
    <w:rsid w:val="0041634E"/>
    <w:rsid w:val="004C194D"/>
    <w:rsid w:val="00521614"/>
    <w:rsid w:val="00552DEF"/>
    <w:rsid w:val="005C6D95"/>
    <w:rsid w:val="006A1AF7"/>
    <w:rsid w:val="006B5076"/>
    <w:rsid w:val="006B62ED"/>
    <w:rsid w:val="006C30DA"/>
    <w:rsid w:val="006E6FB7"/>
    <w:rsid w:val="006F7A54"/>
    <w:rsid w:val="00706A3C"/>
    <w:rsid w:val="00724FE4"/>
    <w:rsid w:val="007B748F"/>
    <w:rsid w:val="007C3942"/>
    <w:rsid w:val="00846BCC"/>
    <w:rsid w:val="008E43BD"/>
    <w:rsid w:val="008F6B92"/>
    <w:rsid w:val="00920FB8"/>
    <w:rsid w:val="00952533"/>
    <w:rsid w:val="00976409"/>
    <w:rsid w:val="00A06C11"/>
    <w:rsid w:val="00A15A73"/>
    <w:rsid w:val="00A21D8E"/>
    <w:rsid w:val="00A36FAF"/>
    <w:rsid w:val="00A67197"/>
    <w:rsid w:val="00A76A5D"/>
    <w:rsid w:val="00AC42A9"/>
    <w:rsid w:val="00B12317"/>
    <w:rsid w:val="00B14C40"/>
    <w:rsid w:val="00B24D24"/>
    <w:rsid w:val="00B42E79"/>
    <w:rsid w:val="00B97A9C"/>
    <w:rsid w:val="00BD6580"/>
    <w:rsid w:val="00C31818"/>
    <w:rsid w:val="00C31D94"/>
    <w:rsid w:val="00C45CF4"/>
    <w:rsid w:val="00C56A7E"/>
    <w:rsid w:val="00C74BE2"/>
    <w:rsid w:val="00D61F3D"/>
    <w:rsid w:val="00DF121B"/>
    <w:rsid w:val="00EA4CFA"/>
    <w:rsid w:val="00F906B2"/>
    <w:rsid w:val="00FA7A63"/>
    <w:rsid w:val="00FC7477"/>
    <w:rsid w:val="00FE0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B67D"/>
  <w15:chartTrackingRefBased/>
  <w15:docId w15:val="{A3A42078-5664-4171-8A86-EA368AB5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474"/>
    <w:pPr>
      <w:ind w:left="720"/>
      <w:contextualSpacing/>
    </w:pPr>
  </w:style>
  <w:style w:type="table" w:styleId="TableGrid">
    <w:name w:val="Table Grid"/>
    <w:basedOn w:val="TableNormal"/>
    <w:uiPriority w:val="39"/>
    <w:rsid w:val="0034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1796</Words>
  <Characters>10243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Feldhaar, Andreas</dc:creator>
  <cp:keywords/>
  <dc:description/>
  <cp:lastModifiedBy>Gorton, Sam</cp:lastModifiedBy>
  <cp:revision>2</cp:revision>
  <dcterms:created xsi:type="dcterms:W3CDTF">2021-07-08T09:27:00Z</dcterms:created>
  <dcterms:modified xsi:type="dcterms:W3CDTF">2021-07-08T09:27:00Z</dcterms:modified>
</cp:coreProperties>
</file>